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05D3D" w14:textId="77777777" w:rsidR="00067E98" w:rsidRPr="00067E98" w:rsidRDefault="00067E98" w:rsidP="00067E98">
      <w:pPr>
        <w:jc w:val="center"/>
        <w:rPr>
          <w:b/>
          <w:bCs/>
          <w:smallCaps/>
          <w:sz w:val="32"/>
          <w:szCs w:val="32"/>
        </w:rPr>
      </w:pPr>
      <w:r w:rsidRPr="00067E98">
        <w:rPr>
          <w:b/>
          <w:bCs/>
          <w:smallCaps/>
          <w:sz w:val="32"/>
          <w:szCs w:val="32"/>
        </w:rPr>
        <w:t>Oona A. Hathaway &amp; Scott J. Shapiro</w:t>
      </w:r>
    </w:p>
    <w:p w14:paraId="4123B4FC" w14:textId="6A904F3F" w:rsidR="00067E98" w:rsidRPr="00067E98" w:rsidRDefault="00067E98" w:rsidP="00067E98">
      <w:pPr>
        <w:jc w:val="center"/>
        <w:rPr>
          <w:b/>
          <w:bCs/>
          <w:smallCaps/>
          <w:sz w:val="32"/>
          <w:szCs w:val="32"/>
        </w:rPr>
      </w:pPr>
      <w:r w:rsidRPr="00067E98">
        <w:rPr>
          <w:b/>
          <w:bCs/>
          <w:smallCaps/>
          <w:sz w:val="32"/>
          <w:szCs w:val="32"/>
        </w:rPr>
        <w:t xml:space="preserve">Conquest </w:t>
      </w:r>
      <w:r w:rsidR="00CF2292">
        <w:rPr>
          <w:b/>
          <w:bCs/>
          <w:smallCaps/>
          <w:sz w:val="32"/>
          <w:szCs w:val="32"/>
        </w:rPr>
        <w:t xml:space="preserve">and State Size </w:t>
      </w:r>
      <w:r w:rsidRPr="00067E98">
        <w:rPr>
          <w:b/>
          <w:bCs/>
          <w:smallCaps/>
          <w:sz w:val="32"/>
          <w:szCs w:val="32"/>
        </w:rPr>
        <w:t>Database</w:t>
      </w:r>
    </w:p>
    <w:p w14:paraId="2EC33B6C" w14:textId="77777777" w:rsidR="00067E98" w:rsidRPr="00067E98" w:rsidRDefault="00067E98" w:rsidP="00067E98">
      <w:pPr>
        <w:jc w:val="center"/>
        <w:rPr>
          <w:b/>
          <w:bCs/>
          <w:smallCaps/>
          <w:sz w:val="32"/>
          <w:szCs w:val="32"/>
        </w:rPr>
      </w:pPr>
      <w:r w:rsidRPr="00067E98">
        <w:rPr>
          <w:b/>
          <w:bCs/>
          <w:smallCaps/>
          <w:sz w:val="32"/>
          <w:szCs w:val="32"/>
        </w:rPr>
        <w:t>Summary of Data Sources and Technical Documentation</w:t>
      </w:r>
    </w:p>
    <w:p w14:paraId="1FDC1B55" w14:textId="77777777" w:rsidR="00067E98" w:rsidRDefault="00067E98" w:rsidP="00153BF4"/>
    <w:p w14:paraId="3ED938C8" w14:textId="77777777" w:rsidR="00067E98" w:rsidRDefault="004B50AB" w:rsidP="00153BF4">
      <w:r>
        <w:t xml:space="preserve">The goal of the project is to create a dataset </w:t>
      </w:r>
      <w:r w:rsidR="00067E98">
        <w:t>to</w:t>
      </w:r>
      <w:r>
        <w:t xml:space="preserve"> help us understand the changing nature of </w:t>
      </w:r>
      <w:r w:rsidR="00AA3C4F">
        <w:t>territorial conquest from 1816 to 2014</w:t>
      </w:r>
      <w:r>
        <w:t xml:space="preserve">. </w:t>
      </w:r>
    </w:p>
    <w:p w14:paraId="01CB0460" w14:textId="3D3D127C" w:rsidR="004B50AB" w:rsidRDefault="00067E98" w:rsidP="00153BF4">
      <w:r>
        <w:t xml:space="preserve">Please cite the data as follows: Oona A. Hathaway &amp; Scott J. Shapiro, Conquest </w:t>
      </w:r>
      <w:r w:rsidR="00CF2292">
        <w:t xml:space="preserve">and State Size </w:t>
      </w:r>
      <w:r>
        <w:t>Database (2017)</w:t>
      </w:r>
      <w:r w:rsidR="001E1C36">
        <w:t xml:space="preserve">, </w:t>
      </w:r>
      <w:r w:rsidR="001E1C36" w:rsidRPr="001E1C36">
        <w:t>http://www.theinternationalistsbook.com/data.html</w:t>
      </w:r>
      <w:r>
        <w:t xml:space="preserve">.  This data is analyzed and described at length in Oona A. Hathaway &amp; Scott J. Shapiro, </w:t>
      </w:r>
      <w:r w:rsidRPr="000E1B05">
        <w:rPr>
          <w:i/>
        </w:rPr>
        <w:t>The Internationalists</w:t>
      </w:r>
      <w:r>
        <w:t xml:space="preserve"> (</w:t>
      </w:r>
      <w:r w:rsidR="000E1B05">
        <w:t>Simon &amp; Sch</w:t>
      </w:r>
      <w:r w:rsidR="001E1C36">
        <w:t>uster 2017), Chapters 13 and 14.</w:t>
      </w:r>
    </w:p>
    <w:p w14:paraId="647395BD" w14:textId="77777777" w:rsidR="00153BF4" w:rsidRPr="007413A5" w:rsidRDefault="006A790A" w:rsidP="007413A5">
      <w:pPr>
        <w:pStyle w:val="Heading1"/>
        <w:numPr>
          <w:ilvl w:val="0"/>
          <w:numId w:val="2"/>
        </w:numPr>
        <w:rPr>
          <w:b/>
        </w:rPr>
      </w:pPr>
      <w:r w:rsidRPr="007413A5">
        <w:rPr>
          <w:b/>
        </w:rPr>
        <w:t>Correlates of War’s Territorial Change (TC) data</w:t>
      </w:r>
    </w:p>
    <w:p w14:paraId="41445CB6" w14:textId="77777777" w:rsidR="00153BF4" w:rsidRDefault="00153BF4" w:rsidP="00153BF4">
      <w:r>
        <w:t xml:space="preserve">The construction of our analysis dataset begins with </w:t>
      </w:r>
      <w:r w:rsidR="0098768F">
        <w:t>the Correlates of War’s</w:t>
      </w:r>
      <w:r w:rsidR="00AA3C4F">
        <w:t xml:space="preserve"> (COW)</w:t>
      </w:r>
      <w:r w:rsidR="0098768F">
        <w:t xml:space="preserve"> Territorial Change (</w:t>
      </w:r>
      <w:r w:rsidR="007B38A5">
        <w:t>TC</w:t>
      </w:r>
      <w:r w:rsidR="0098768F">
        <w:t>) data. The dataset is an attempt to “identify and code all territorial changes involving at least one nation-state</w:t>
      </w:r>
      <w:r w:rsidR="00867830">
        <w:t xml:space="preserve"> </w:t>
      </w:r>
      <w:r w:rsidR="0098768F">
        <w:t>. . . for the period 1816-2014.”</w:t>
      </w:r>
      <w:r w:rsidR="00867830">
        <w:t xml:space="preserve"> The data consist of </w:t>
      </w:r>
      <w:r w:rsidR="00311A62">
        <w:t>838</w:t>
      </w:r>
      <w:r w:rsidR="00867830">
        <w:t xml:space="preserve"> observations and include </w:t>
      </w:r>
      <w:r w:rsidR="008F4F71">
        <w:t>detailed</w:t>
      </w:r>
      <w:r w:rsidR="00867830">
        <w:t xml:space="preserve"> information about the conflict and political entities involved. In particular,</w:t>
      </w:r>
      <w:r w:rsidR="001C3794">
        <w:t xml:space="preserve"> the data are categorized by process of transfer, including conquests, annexations, cessions, secessions, unifications, and mandated territory. Transfers are also coded according to whether they constitute an entry t</w:t>
      </w:r>
      <w:r w:rsidR="00432256">
        <w:t>o/exit from the state system</w:t>
      </w:r>
      <w:r w:rsidR="001C3794">
        <w:t xml:space="preserve"> </w:t>
      </w:r>
      <w:r w:rsidR="001C19D1">
        <w:t xml:space="preserve">or </w:t>
      </w:r>
      <w:r w:rsidR="00987F98">
        <w:t>independence</w:t>
      </w:r>
      <w:r w:rsidR="001C19D1">
        <w:t>, as well as whether there was a military conflict associated with the transfer. Finally,</w:t>
      </w:r>
      <w:r w:rsidR="00867830">
        <w:t xml:space="preserve"> </w:t>
      </w:r>
      <w:r w:rsidR="00554ADA">
        <w:t xml:space="preserve">data on </w:t>
      </w:r>
      <w:r w:rsidR="00867830">
        <w:t>conflicts include information on the size of the territory and an estimate of the population occupying the territory at the time of the transfer</w:t>
      </w:r>
      <w:r w:rsidR="00AA3C4F">
        <w:t>.</w:t>
      </w:r>
      <w:r w:rsidR="00987F98">
        <w:rPr>
          <w:rStyle w:val="FootnoteReference"/>
        </w:rPr>
        <w:footnoteReference w:id="1"/>
      </w:r>
      <w:r w:rsidR="00987F98">
        <w:t xml:space="preserve"> </w:t>
      </w:r>
    </w:p>
    <w:p w14:paraId="76A595EB" w14:textId="77777777" w:rsidR="00E11E1E" w:rsidRDefault="00E11E1E" w:rsidP="00153BF4">
      <w:pPr>
        <w:rPr>
          <w:b/>
        </w:rPr>
      </w:pPr>
      <w:r w:rsidRPr="00E11E1E">
        <w:rPr>
          <w:b/>
        </w:rPr>
        <w:t>Corrections to the TC data</w:t>
      </w:r>
    </w:p>
    <w:p w14:paraId="4975567A" w14:textId="77777777" w:rsidR="00265051" w:rsidRDefault="00E11E1E" w:rsidP="003A3C5D">
      <w:r>
        <w:t xml:space="preserve">While working with the data, we discovered several irregularities, which appear to be mistakes in the underlying TC data. </w:t>
      </w:r>
      <w:r w:rsidR="003A3C5D">
        <w:t xml:space="preserve">We perform a number of </w:t>
      </w:r>
      <w:r w:rsidR="002F1775">
        <w:t xml:space="preserve">corrections to account for errors in estimated territory size and recording of the gaining/losing entities. For example, our version of the territorial change data provides a more complete picture of the break-up of Germany following World War II and its subsequent reunification.  </w:t>
      </w:r>
    </w:p>
    <w:p w14:paraId="358354C5" w14:textId="77777777" w:rsidR="00F50C8E" w:rsidRDefault="00F50C8E" w:rsidP="00153BF4">
      <w:pPr>
        <w:rPr>
          <w:b/>
        </w:rPr>
      </w:pPr>
      <w:r w:rsidRPr="007B38A5">
        <w:rPr>
          <w:b/>
        </w:rPr>
        <w:t>Identifying Conquest</w:t>
      </w:r>
      <w:r w:rsidR="007B38A5">
        <w:rPr>
          <w:b/>
        </w:rPr>
        <w:t xml:space="preserve"> in the </w:t>
      </w:r>
      <w:r w:rsidR="005A58AE">
        <w:rPr>
          <w:b/>
        </w:rPr>
        <w:t>TC</w:t>
      </w:r>
      <w:r w:rsidRPr="007B38A5">
        <w:rPr>
          <w:b/>
        </w:rPr>
        <w:t xml:space="preserve"> data</w:t>
      </w:r>
    </w:p>
    <w:p w14:paraId="0A57EA3A" w14:textId="77777777" w:rsidR="001E529F" w:rsidRPr="00B775CC" w:rsidRDefault="00E064C3" w:rsidP="00D22400">
      <w:r>
        <w:t xml:space="preserve">In order to properly analyze military conquest, we narrow our analysis to the subset of the TC data that are (1) associated with a military conflict or (2) were otherwise coded as a conquest by COW. </w:t>
      </w:r>
    </w:p>
    <w:p w14:paraId="69C172AF" w14:textId="77777777" w:rsidR="00B775CC" w:rsidRDefault="00B775CC" w:rsidP="00CD13FE">
      <w:pPr>
        <w:pStyle w:val="Heading1"/>
        <w:numPr>
          <w:ilvl w:val="0"/>
          <w:numId w:val="2"/>
        </w:numPr>
      </w:pPr>
      <w:r>
        <w:rPr>
          <w:b/>
        </w:rPr>
        <w:t>Coded Data</w:t>
      </w:r>
    </w:p>
    <w:p w14:paraId="3D598595" w14:textId="77777777" w:rsidR="00B775CC" w:rsidRDefault="00CD13FE" w:rsidP="00B775CC">
      <w:r>
        <w:t xml:space="preserve">In order to properly understand the changing nature of territorial conquest, we constructed </w:t>
      </w:r>
      <w:r w:rsidR="00B775CC">
        <w:t>seven legal</w:t>
      </w:r>
      <w:r>
        <w:t xml:space="preserve"> categories in the TC data</w:t>
      </w:r>
      <w:r w:rsidR="00B775CC">
        <w:t xml:space="preserve"> (</w:t>
      </w:r>
      <w:r w:rsidR="00B775CC" w:rsidRPr="00B775CC">
        <w:rPr>
          <w:b/>
        </w:rPr>
        <w:t>Q1-Q7</w:t>
      </w:r>
      <w:r w:rsidR="00B775CC">
        <w:t>), described below</w:t>
      </w:r>
      <w:r>
        <w:t xml:space="preserve">. </w:t>
      </w:r>
      <w:r w:rsidR="00B775CC">
        <w:t xml:space="preserve">In addition to </w:t>
      </w:r>
      <w:r w:rsidR="00B775CC" w:rsidRPr="00B775CC">
        <w:rPr>
          <w:b/>
        </w:rPr>
        <w:t>Q1-Q7</w:t>
      </w:r>
      <w:r w:rsidR="00B775CC">
        <w:t xml:space="preserve">, the data include the following: </w:t>
      </w:r>
      <w:proofErr w:type="spellStart"/>
      <w:r w:rsidR="00B775CC" w:rsidRPr="001E529F">
        <w:rPr>
          <w:b/>
        </w:rPr>
        <w:t>o_n</w:t>
      </w:r>
      <w:proofErr w:type="spellEnd"/>
      <w:r w:rsidR="00B775CC">
        <w:t xml:space="preserve"> is an internal tracking number, </w:t>
      </w:r>
      <w:proofErr w:type="spellStart"/>
      <w:r w:rsidR="00B775CC" w:rsidRPr="00B775CC">
        <w:rPr>
          <w:b/>
        </w:rPr>
        <w:t>tc_number</w:t>
      </w:r>
      <w:proofErr w:type="spellEnd"/>
      <w:r w:rsidR="00B775CC">
        <w:t xml:space="preserve"> corresponds to the Correlates of War Territorial Change data ID, </w:t>
      </w:r>
      <w:r w:rsidR="00B775CC" w:rsidRPr="001E529F">
        <w:rPr>
          <w:b/>
        </w:rPr>
        <w:t>o_coder1</w:t>
      </w:r>
      <w:r w:rsidR="00B775CC">
        <w:t xml:space="preserve"> and </w:t>
      </w:r>
      <w:r w:rsidR="00B775CC" w:rsidRPr="001E529F">
        <w:rPr>
          <w:b/>
        </w:rPr>
        <w:t>o_coder2</w:t>
      </w:r>
      <w:r w:rsidR="00B775CC">
        <w:t xml:space="preserve"> identify the two coders, each of whom coded the transfer independently. Where the two coders disagreed, the disagreement was resolved in conversation with the authors and the team of coders.</w:t>
      </w:r>
    </w:p>
    <w:p w14:paraId="2E666F16" w14:textId="77777777" w:rsidR="00967265" w:rsidRDefault="00967265" w:rsidP="00967265">
      <w:r>
        <w:rPr>
          <w:b/>
        </w:rPr>
        <w:t>Q1.</w:t>
      </w:r>
      <w:r w:rsidR="003C2A5D">
        <w:rPr>
          <w:b/>
        </w:rPr>
        <w:t xml:space="preserve"> </w:t>
      </w:r>
      <w:proofErr w:type="gramStart"/>
      <w:r w:rsidR="00A23866">
        <w:rPr>
          <w:b/>
        </w:rPr>
        <w:t>Sovereignty in</w:t>
      </w:r>
      <w:r w:rsidR="003C2A5D">
        <w:rPr>
          <w:b/>
        </w:rPr>
        <w:t xml:space="preserve"> Dispute</w:t>
      </w:r>
      <w:r w:rsidR="00AA3C4F">
        <w:rPr>
          <w:b/>
        </w:rPr>
        <w:t>.</w:t>
      </w:r>
      <w:proofErr w:type="gramEnd"/>
      <w:r>
        <w:rPr>
          <w:b/>
        </w:rPr>
        <w:t xml:space="preserve">  </w:t>
      </w:r>
      <w:r w:rsidRPr="003C2A5D">
        <w:t xml:space="preserve">Was the losing </w:t>
      </w:r>
      <w:r w:rsidR="00AA3C4F">
        <w:t>entity’s</w:t>
      </w:r>
      <w:r w:rsidRPr="003C2A5D">
        <w:t xml:space="preserve"> sovereignty over the transferred territory in dispute at the time of transfer?</w:t>
      </w:r>
      <w:r w:rsidRPr="00C339FB">
        <w:rPr>
          <w:b/>
        </w:rPr>
        <w:t xml:space="preserve"> </w:t>
      </w:r>
      <w:r w:rsidRPr="00C339FB">
        <w:t xml:space="preserve">That is, did other </w:t>
      </w:r>
      <w:r w:rsidR="00AA3C4F">
        <w:t>states</w:t>
      </w:r>
      <w:r w:rsidRPr="00C339FB">
        <w:t xml:space="preserve"> not recognize the sovereignty of the losing </w:t>
      </w:r>
      <w:r w:rsidR="00AA3C4F">
        <w:t>entity</w:t>
      </w:r>
      <w:r w:rsidRPr="00C339FB">
        <w:t xml:space="preserve"> over the transferred territory? </w:t>
      </w:r>
      <w:r>
        <w:t>The available answers are (0) no; (1</w:t>
      </w:r>
      <w:r w:rsidRPr="00C339FB">
        <w:t>) yes</w:t>
      </w:r>
      <w:proofErr w:type="gramStart"/>
      <w:r>
        <w:t>;</w:t>
      </w:r>
      <w:proofErr w:type="gramEnd"/>
      <w:r>
        <w:t xml:space="preserve"> </w:t>
      </w:r>
      <w:r w:rsidRPr="00C339FB">
        <w:t>and (</w:t>
      </w:r>
      <w:r>
        <w:t>9</w:t>
      </w:r>
      <w:r w:rsidRPr="00C339FB">
        <w:t xml:space="preserve">) unclear. </w:t>
      </w:r>
    </w:p>
    <w:p w14:paraId="2AC05D2F" w14:textId="77777777" w:rsidR="00967265" w:rsidRPr="00C339FB" w:rsidRDefault="00967265" w:rsidP="00CD13FE">
      <w:pPr>
        <w:ind w:left="1080" w:hanging="360"/>
      </w:pPr>
      <w:r w:rsidRPr="00C339FB">
        <w:rPr>
          <w:b/>
        </w:rPr>
        <w:t>Example 1:</w:t>
      </w:r>
      <w:r w:rsidRPr="00C339FB">
        <w:t xml:space="preserve"> Suppose every state in the international system recognizes State A’s control over a parcel P of land. A few years later, State B invades A and </w:t>
      </w:r>
      <w:r w:rsidR="00A23866">
        <w:t>takes</w:t>
      </w:r>
      <w:r w:rsidRPr="00C339FB">
        <w:t xml:space="preserve"> control of P. The answer would </w:t>
      </w:r>
      <w:r w:rsidR="00A23866">
        <w:t>be “no</w:t>
      </w:r>
      <w:r w:rsidRPr="00C339FB">
        <w:t>”</w:t>
      </w:r>
      <w:r w:rsidR="00A23866">
        <w:t xml:space="preserve"> (0).</w:t>
      </w:r>
      <w:r w:rsidRPr="00C339FB">
        <w:t xml:space="preserve"> </w:t>
      </w:r>
    </w:p>
    <w:p w14:paraId="30C3A4C6" w14:textId="77777777" w:rsidR="00A23866" w:rsidRPr="00C339FB" w:rsidRDefault="00A23866" w:rsidP="00A23866">
      <w:pPr>
        <w:ind w:left="1080" w:hanging="360"/>
      </w:pPr>
      <w:r w:rsidRPr="00C339FB">
        <w:rPr>
          <w:b/>
        </w:rPr>
        <w:lastRenderedPageBreak/>
        <w:t xml:space="preserve">Example </w:t>
      </w:r>
      <w:r>
        <w:rPr>
          <w:b/>
        </w:rPr>
        <w:t>2</w:t>
      </w:r>
      <w:r w:rsidRPr="00C339FB">
        <w:rPr>
          <w:b/>
        </w:rPr>
        <w:t>:</w:t>
      </w:r>
      <w:r w:rsidRPr="00C339FB">
        <w:t xml:space="preserve"> Suppose </w:t>
      </w:r>
      <w:r>
        <w:t>few</w:t>
      </w:r>
      <w:r w:rsidRPr="00C339FB">
        <w:t xml:space="preserve"> </w:t>
      </w:r>
      <w:r>
        <w:t xml:space="preserve">or no </w:t>
      </w:r>
      <w:r w:rsidRPr="00C339FB">
        <w:t>state</w:t>
      </w:r>
      <w:r>
        <w:t>s</w:t>
      </w:r>
      <w:r w:rsidRPr="00C339FB">
        <w:t xml:space="preserve"> in the</w:t>
      </w:r>
      <w:r>
        <w:t xml:space="preserve"> international system recognize</w:t>
      </w:r>
      <w:r w:rsidRPr="00C339FB">
        <w:t xml:space="preserve"> State A’s control over a parcel P of land</w:t>
      </w:r>
      <w:r>
        <w:t xml:space="preserve"> (perhaps because it was taken in a previous illegal conquest)</w:t>
      </w:r>
      <w:r w:rsidRPr="00C339FB">
        <w:t xml:space="preserve">. A few years later, State B invades A and </w:t>
      </w:r>
      <w:r>
        <w:t>takes</w:t>
      </w:r>
      <w:r w:rsidRPr="00C339FB">
        <w:t xml:space="preserve"> control of P. The answer would </w:t>
      </w:r>
      <w:r>
        <w:t>be “yes</w:t>
      </w:r>
      <w:r w:rsidRPr="00C339FB">
        <w:t>”</w:t>
      </w:r>
      <w:r>
        <w:t xml:space="preserve"> (1).</w:t>
      </w:r>
      <w:r w:rsidRPr="00C339FB">
        <w:t xml:space="preserve"> </w:t>
      </w:r>
    </w:p>
    <w:p w14:paraId="5C950B75" w14:textId="77777777" w:rsidR="00967265" w:rsidRPr="00C339FB" w:rsidRDefault="00967265" w:rsidP="00CD13FE">
      <w:pPr>
        <w:ind w:left="1080" w:hanging="360"/>
      </w:pPr>
      <w:r w:rsidRPr="00C339FB">
        <w:rPr>
          <w:b/>
        </w:rPr>
        <w:t xml:space="preserve">Example </w:t>
      </w:r>
      <w:r w:rsidR="00A23866">
        <w:rPr>
          <w:b/>
        </w:rPr>
        <w:t>3</w:t>
      </w:r>
      <w:r w:rsidRPr="00C339FB">
        <w:rPr>
          <w:b/>
        </w:rPr>
        <w:t>:</w:t>
      </w:r>
      <w:r w:rsidRPr="00C339FB">
        <w:t xml:space="preserve"> In </w:t>
      </w:r>
      <w:r w:rsidR="00A23866">
        <w:t>cases</w:t>
      </w:r>
      <w:r w:rsidRPr="00C339FB">
        <w:t xml:space="preserve"> involving transfers from a non-state ent</w:t>
      </w:r>
      <w:r w:rsidR="00A23866">
        <w:t>ity to a state, the answer is “yes</w:t>
      </w:r>
      <w:r w:rsidRPr="00C339FB">
        <w:t>”</w:t>
      </w:r>
      <w:r w:rsidR="00A23866">
        <w:t xml:space="preserve"> (1), because entities that are not</w:t>
      </w:r>
      <w:r w:rsidRPr="00C339FB">
        <w:t xml:space="preserve"> recognized </w:t>
      </w:r>
      <w:r w:rsidR="00A23866">
        <w:t>as states cannot have recognized state sovereignty over territory</w:t>
      </w:r>
      <w:r w:rsidRPr="00C339FB">
        <w:t xml:space="preserve">. </w:t>
      </w:r>
    </w:p>
    <w:p w14:paraId="5CE564F0" w14:textId="77777777" w:rsidR="00967265" w:rsidRDefault="00967265" w:rsidP="00CD13FE">
      <w:pPr>
        <w:ind w:left="1080" w:hanging="360"/>
      </w:pPr>
      <w:r w:rsidRPr="00036FFC">
        <w:rPr>
          <w:b/>
        </w:rPr>
        <w:t xml:space="preserve">Example </w:t>
      </w:r>
      <w:r w:rsidR="00A23866">
        <w:rPr>
          <w:b/>
        </w:rPr>
        <w:t>4</w:t>
      </w:r>
      <w:r>
        <w:t>:  The COW may list the wrong losing entity.  For example, it is possible that the COW lists State A as the losing state, but in fact State A was did not have independent legal personality—it instead is properly understood as a sub-entity of State B and therefore State B is properly understood as the losing state, not State A.  (Indicia of independent legal personality include the ability to make laws that cannot be overruled, the capacity to enter into treaties, possessing a military (that is, capacity to project force outside the territory).)  In such cases, code as if State B were listed as the losing state.</w:t>
      </w:r>
    </w:p>
    <w:p w14:paraId="675E386E" w14:textId="77777777" w:rsidR="00967265" w:rsidRDefault="00967265" w:rsidP="00967265">
      <w:pPr>
        <w:ind w:left="1080" w:hanging="360"/>
      </w:pPr>
      <w:r>
        <w:t>Note:  If a small portion of the territory (less than 1%) is in dispute, this variable should be coded “</w:t>
      </w:r>
      <w:r w:rsidR="00A23866">
        <w:t>no</w:t>
      </w:r>
      <w:r>
        <w:t>”</w:t>
      </w:r>
      <w:r w:rsidR="00A23866">
        <w:t xml:space="preserve"> (0).</w:t>
      </w:r>
      <w:r>
        <w:t xml:space="preserve"> </w:t>
      </w:r>
    </w:p>
    <w:p w14:paraId="24A7CDB9" w14:textId="2DABBA76" w:rsidR="00967265" w:rsidRDefault="00967265" w:rsidP="00967265">
      <w:r>
        <w:rPr>
          <w:b/>
        </w:rPr>
        <w:t xml:space="preserve">Q2.  </w:t>
      </w:r>
      <w:r w:rsidRPr="00C339FB">
        <w:rPr>
          <w:b/>
        </w:rPr>
        <w:t>Reversion</w:t>
      </w:r>
      <w:r w:rsidR="002B2779">
        <w:rPr>
          <w:b/>
        </w:rPr>
        <w:t>.</w:t>
      </w:r>
      <w:r w:rsidRPr="00C339FB">
        <w:t xml:space="preserve"> Was the transfer a reversion of </w:t>
      </w:r>
      <w:r>
        <w:t xml:space="preserve">the same </w:t>
      </w:r>
      <w:r w:rsidRPr="00C339FB">
        <w:t xml:space="preserve">land previously exchanged between the same countries? (For example, in 1945, Ethiopia regained its territory from Italy. This was a </w:t>
      </w:r>
      <w:r w:rsidR="006241F2">
        <w:t>reversal of the conquest</w:t>
      </w:r>
      <w:r w:rsidRPr="00C339FB">
        <w:t xml:space="preserve"> </w:t>
      </w:r>
      <w:r w:rsidR="006241F2">
        <w:t xml:space="preserve">of </w:t>
      </w:r>
      <w:r w:rsidRPr="00C339FB">
        <w:t>Ethiopia by Italy.) The avail</w:t>
      </w:r>
      <w:r>
        <w:t>able answers are (0) no; (1</w:t>
      </w:r>
      <w:r w:rsidRPr="00C339FB">
        <w:t>) yes; (</w:t>
      </w:r>
      <w:r>
        <w:t>2</w:t>
      </w:r>
      <w:r w:rsidRPr="00C339FB">
        <w:t>) independence; (</w:t>
      </w:r>
      <w:r>
        <w:t>9</w:t>
      </w:r>
      <w:r w:rsidRPr="00C339FB">
        <w:t xml:space="preserve">) unclear. </w:t>
      </w:r>
    </w:p>
    <w:p w14:paraId="548BEC0D" w14:textId="0E4F66AF" w:rsidR="00967265" w:rsidRPr="00C339FB" w:rsidRDefault="00967265" w:rsidP="00CD13FE">
      <w:pPr>
        <w:ind w:left="1080" w:hanging="360"/>
      </w:pPr>
      <w:r w:rsidRPr="007B235C">
        <w:t xml:space="preserve">Note: </w:t>
      </w:r>
      <w:r w:rsidR="006241F2">
        <w:t>If the</w:t>
      </w:r>
      <w:r w:rsidR="006241F2" w:rsidRPr="006241F2">
        <w:t xml:space="preserve"> </w:t>
      </w:r>
      <w:r w:rsidR="006241F2">
        <w:t>area involved is within 10% or 10 square kilometers of the original transfer</w:t>
      </w:r>
      <w:r w:rsidR="006241F2">
        <w:t xml:space="preserve"> </w:t>
      </w:r>
      <w:r>
        <w:t>between the two countries</w:t>
      </w:r>
      <w:r w:rsidR="006241F2">
        <w:t>, the prior transfer is a reversion (1), but if less than that, it is not (0).</w:t>
      </w:r>
      <w:bookmarkStart w:id="0" w:name="_GoBack"/>
      <w:bookmarkEnd w:id="0"/>
    </w:p>
    <w:p w14:paraId="16EB9142" w14:textId="310D5A00" w:rsidR="00967265" w:rsidRPr="00C339FB" w:rsidRDefault="00967265" w:rsidP="00967265">
      <w:r>
        <w:rPr>
          <w:b/>
        </w:rPr>
        <w:t xml:space="preserve">Q3.  </w:t>
      </w:r>
      <w:r w:rsidRPr="00C339FB">
        <w:rPr>
          <w:b/>
        </w:rPr>
        <w:t>Multinational organization</w:t>
      </w:r>
      <w:r w:rsidR="002B2779">
        <w:rPr>
          <w:b/>
        </w:rPr>
        <w:t>.</w:t>
      </w:r>
      <w:r w:rsidRPr="00C339FB">
        <w:rPr>
          <w:b/>
        </w:rPr>
        <w:t xml:space="preserve"> </w:t>
      </w:r>
      <w:r w:rsidRPr="00C339FB">
        <w:t>Was the intervention carried out by, or with the approval of, a multinational organization (e.g., the United Nations, NATO, the League of Nations)?</w:t>
      </w:r>
      <w:r>
        <w:t xml:space="preserve"> The available answers are (0) no; (1) yes; (9</w:t>
      </w:r>
      <w:r w:rsidRPr="00C339FB">
        <w:t xml:space="preserve">) unclear. </w:t>
      </w:r>
    </w:p>
    <w:p w14:paraId="66303EFB" w14:textId="77777777" w:rsidR="00967265" w:rsidRDefault="00967265" w:rsidP="00967265">
      <w:r>
        <w:rPr>
          <w:b/>
        </w:rPr>
        <w:t xml:space="preserve">Q4.  </w:t>
      </w:r>
      <w:r w:rsidRPr="00C339FB">
        <w:rPr>
          <w:b/>
        </w:rPr>
        <w:t>International recognition.</w:t>
      </w:r>
      <w:r w:rsidRPr="00C339FB">
        <w:t xml:space="preserve"> Was the transfer recognized by the international community? Since the project is concerned with the legitimacy of conquest under international law, it is important to note whether the international community recognized a territorial exchange. The available answers are </w:t>
      </w:r>
      <w:r>
        <w:t>(0</w:t>
      </w:r>
      <w:r w:rsidRPr="00C339FB">
        <w:t xml:space="preserve">) </w:t>
      </w:r>
      <w:r>
        <w:t xml:space="preserve">there is no evidence that any </w:t>
      </w:r>
      <w:r w:rsidRPr="002539C3">
        <w:t>state</w:t>
      </w:r>
      <w:r>
        <w:t xml:space="preserve"> other than those involved recognized the transfer (or the only evidence regarding recognition is of </w:t>
      </w:r>
      <w:r w:rsidRPr="002539C3">
        <w:rPr>
          <w:i/>
        </w:rPr>
        <w:t>refusal</w:t>
      </w:r>
      <w:r>
        <w:t xml:space="preserve"> to recognize);</w:t>
      </w:r>
      <w:r w:rsidRPr="00C339FB">
        <w:t xml:space="preserve"> (1) </w:t>
      </w:r>
      <w:r w:rsidRPr="007B235C">
        <w:rPr>
          <w:u w:val="single"/>
        </w:rPr>
        <w:t>one</w:t>
      </w:r>
      <w:r w:rsidRPr="00C339FB">
        <w:t xml:space="preserve"> country other than those involved recognized the transfer; (2) </w:t>
      </w:r>
      <w:r>
        <w:t>less than a majority</w:t>
      </w:r>
      <w:r w:rsidRPr="00C339FB">
        <w:t xml:space="preserve"> of </w:t>
      </w:r>
      <w:r>
        <w:t>countries other than those involved</w:t>
      </w:r>
      <w:r w:rsidRPr="00C339FB">
        <w:t xml:space="preserve"> recognized the transfer; (3) the majority of countries recognized the transfer; and (4) nearly all countries recognized the transfer</w:t>
      </w:r>
      <w:r>
        <w:t xml:space="preserve"> (if there was a treaty between the states involved in the transfer in which the losing state consented to the transfer, the default expectation is that the transfer should be placed in this category unless there is clear evidence to the contrary)</w:t>
      </w:r>
      <w:r w:rsidRPr="00C339FB">
        <w:t>.</w:t>
      </w:r>
      <w:r>
        <w:t xml:space="preserve">  If there is no formal or affirmative act of recognition, but all states appear to accept the transfer (for example, by continuing normal trading relations with the territory in a way that suggests acceptance of the transfer) and no state rejects the transfer or refuses to recognize it, then the episode should be coded a “4”.    </w:t>
      </w:r>
    </w:p>
    <w:p w14:paraId="63ED1140" w14:textId="77777777" w:rsidR="00967265" w:rsidRPr="00CD13FE" w:rsidRDefault="00967265" w:rsidP="00CD13FE">
      <w:pPr>
        <w:ind w:left="1080" w:hanging="360"/>
      </w:pPr>
      <w:r w:rsidRPr="007B235C">
        <w:t>Notes:  Where there is a treaty in which the state losing territory agrees to the transfer</w:t>
      </w:r>
      <w:r>
        <w:t xml:space="preserve"> of territory</w:t>
      </w:r>
      <w:r w:rsidRPr="007B235C">
        <w:t>, the presumption is that all states will recognize the transfer.  It should therefore be coded a “4</w:t>
      </w:r>
      <w:r>
        <w:t>.”  An armistice is not a treaty for these purposes.</w:t>
      </w:r>
    </w:p>
    <w:p w14:paraId="18BBBDF0" w14:textId="5F22A8AD" w:rsidR="00967265" w:rsidRPr="00C339FB" w:rsidRDefault="00967265" w:rsidP="00967265">
      <w:r>
        <w:rPr>
          <w:b/>
        </w:rPr>
        <w:t xml:space="preserve">Q5.  </w:t>
      </w:r>
      <w:proofErr w:type="gramStart"/>
      <w:r w:rsidRPr="00C339FB">
        <w:rPr>
          <w:b/>
        </w:rPr>
        <w:t>Manifesto or Declaration</w:t>
      </w:r>
      <w:r w:rsidRPr="00C339FB">
        <w:t>.</w:t>
      </w:r>
      <w:proofErr w:type="gramEnd"/>
      <w:r w:rsidRPr="00C339FB">
        <w:t xml:space="preserve"> </w:t>
      </w:r>
      <w:r w:rsidR="00282AC4">
        <w:t>In the course of their research, coders attempted to locate any manifesto or declaration issued during the conflict</w:t>
      </w:r>
      <w:r w:rsidRPr="00C339FB">
        <w:t xml:space="preserve">. </w:t>
      </w:r>
      <w:r>
        <w:t xml:space="preserve">Code options are (1) </w:t>
      </w:r>
      <w:r w:rsidR="003C4ABE">
        <w:t>Manifesto or Declaration located</w:t>
      </w:r>
      <w:r>
        <w:t xml:space="preserve"> and (0) </w:t>
      </w:r>
      <w:r w:rsidR="00D56EA4">
        <w:t>not</w:t>
      </w:r>
      <w:r w:rsidR="003C4ABE">
        <w:t xml:space="preserve"> located</w:t>
      </w:r>
      <w:r>
        <w:t>.</w:t>
      </w:r>
      <w:r w:rsidR="00282AC4">
        <w:t xml:space="preserve">  The manifestos located are posted here, together with a large number of additional manifestos</w:t>
      </w:r>
      <w:proofErr w:type="gramStart"/>
      <w:r w:rsidR="00282AC4">
        <w:t xml:space="preserve">:  </w:t>
      </w:r>
      <w:proofErr w:type="gramEnd"/>
      <w:r w:rsidR="00600C37">
        <w:fldChar w:fldCharType="begin"/>
      </w:r>
      <w:r w:rsidR="00600C37">
        <w:instrText xml:space="preserve"> HYPERLINK "</w:instrText>
      </w:r>
      <w:r w:rsidR="00600C37" w:rsidRPr="00600C37">
        <w:instrText>http://documents.law.yale.edu/manifestos</w:instrText>
      </w:r>
      <w:r w:rsidR="00600C37">
        <w:instrText xml:space="preserve">" </w:instrText>
      </w:r>
      <w:r w:rsidR="00600C37">
        <w:fldChar w:fldCharType="separate"/>
      </w:r>
      <w:r w:rsidR="00600C37" w:rsidRPr="007C0F57">
        <w:rPr>
          <w:rStyle w:val="Hyperlink"/>
        </w:rPr>
        <w:t>http://documents.law.yale.edu/manifestos</w:t>
      </w:r>
      <w:r w:rsidR="00600C37">
        <w:fldChar w:fldCharType="end"/>
      </w:r>
      <w:r w:rsidR="00600C37">
        <w:t xml:space="preserve">. </w:t>
      </w:r>
    </w:p>
    <w:p w14:paraId="3FFF7060" w14:textId="0DC97694" w:rsidR="00967265" w:rsidRPr="002B2779" w:rsidRDefault="00967265" w:rsidP="00967265">
      <w:pPr>
        <w:rPr>
          <w:b/>
        </w:rPr>
      </w:pPr>
      <w:r>
        <w:rPr>
          <w:b/>
        </w:rPr>
        <w:t>Q</w:t>
      </w:r>
      <w:r w:rsidRPr="00C20C89">
        <w:rPr>
          <w:b/>
        </w:rPr>
        <w:t>6.  Fission</w:t>
      </w:r>
      <w:r w:rsidR="002B2779">
        <w:rPr>
          <w:b/>
        </w:rPr>
        <w:t xml:space="preserve">. </w:t>
      </w:r>
      <w:r>
        <w:t>Fission occurs when one state divides into two (or more) distinct states, each with its own non-overlapping territory, each politically independent from the other. Code options are (0) "</w:t>
      </w:r>
      <w:r w:rsidR="003C4ABE">
        <w:t>n</w:t>
      </w:r>
      <w:r>
        <w:t>o" if there is not fission, (1) "</w:t>
      </w:r>
      <w:r w:rsidR="003C4ABE">
        <w:t>y</w:t>
      </w:r>
      <w:r>
        <w:t>es” if there is, and (2) “independence” if a</w:t>
      </w:r>
      <w:r w:rsidR="00D56EA4">
        <w:t xml:space="preserve"> part of the prior</w:t>
      </w:r>
      <w:r>
        <w:t xml:space="preserve"> state wins its independence</w:t>
      </w:r>
      <w:r w:rsidR="00D56EA4">
        <w:t xml:space="preserve"> from the continuing parent state</w:t>
      </w:r>
      <w:r>
        <w:t>. Category (2) includes both colonial and non-colonial independence. Note that independence is a subcategory of fission.</w:t>
      </w:r>
    </w:p>
    <w:p w14:paraId="4586EC0A" w14:textId="4DE8B377" w:rsidR="00967265" w:rsidRDefault="00967265" w:rsidP="00967265">
      <w:r>
        <w:t xml:space="preserve">For our purposes, independence is defined as any fission in which </w:t>
      </w:r>
      <w:r w:rsidR="002B2779">
        <w:t>the pre</w:t>
      </w:r>
      <w:r>
        <w:t>-fission entit</w:t>
      </w:r>
      <w:r w:rsidR="002B2779">
        <w:t>y continues to exist in largely recognizable form</w:t>
      </w:r>
      <w:r>
        <w:t>. This is distinct from a non-independence fission, in which none of the post-fission entities can be characterized as the pre-fission entity</w:t>
      </w:r>
      <w:r w:rsidR="00D56EA4">
        <w:t xml:space="preserve"> (this can be true even if one or more of the new entities accept</w:t>
      </w:r>
      <w:r w:rsidR="002B2779">
        <w:t>s</w:t>
      </w:r>
      <w:r w:rsidR="00D56EA4">
        <w:t xml:space="preserve"> the legal obligations of the parent entity)</w:t>
      </w:r>
      <w:r>
        <w:t xml:space="preserve">. </w:t>
      </w:r>
    </w:p>
    <w:p w14:paraId="641A1B50" w14:textId="3C3F13FD" w:rsidR="00967265" w:rsidRDefault="00967265" w:rsidP="00CD13FE">
      <w:pPr>
        <w:ind w:left="720"/>
      </w:pPr>
      <w:r>
        <w:t>Example 1: The 199</w:t>
      </w:r>
      <w:r w:rsidR="00D56EA4">
        <w:t>1-1992</w:t>
      </w:r>
      <w:r w:rsidR="003C4ABE">
        <w:t xml:space="preserve"> </w:t>
      </w:r>
      <w:r w:rsidR="00D56EA4">
        <w:t>breakup</w:t>
      </w:r>
      <w:r>
        <w:t xml:space="preserve"> of the Socialist Federal Republic of Yugoslavia </w:t>
      </w:r>
      <w:r w:rsidR="00D56EA4">
        <w:t>is</w:t>
      </w:r>
      <w:r>
        <w:t xml:space="preserve"> fission.</w:t>
      </w:r>
      <w:r w:rsidR="00D56EA4">
        <w:t xml:space="preserve"> </w:t>
      </w:r>
      <w:r>
        <w:t xml:space="preserve">Code </w:t>
      </w:r>
      <w:r w:rsidR="003C4ABE">
        <w:t>“yes</w:t>
      </w:r>
      <w:r>
        <w:t>”</w:t>
      </w:r>
      <w:r w:rsidR="003C4ABE">
        <w:t xml:space="preserve"> (1).</w:t>
      </w:r>
      <w:r w:rsidR="00D56EA4">
        <w:t xml:space="preserve"> </w:t>
      </w:r>
    </w:p>
    <w:p w14:paraId="5896CA8A" w14:textId="688CD8EF" w:rsidR="003C4ABE" w:rsidRDefault="003C4ABE" w:rsidP="003C4ABE">
      <w:pPr>
        <w:ind w:left="720"/>
      </w:pPr>
      <w:r>
        <w:t xml:space="preserve">Example 2:  </w:t>
      </w:r>
      <w:r w:rsidR="00D56EA4">
        <w:t>The breakup of</w:t>
      </w:r>
      <w:r>
        <w:t xml:space="preserve"> Korea in 1948</w:t>
      </w:r>
      <w:r w:rsidR="00D56EA4">
        <w:t xml:space="preserve"> into North and South Korea is fission</w:t>
      </w:r>
      <w:r>
        <w:t xml:space="preserve">. Code “yes” (1). </w:t>
      </w:r>
    </w:p>
    <w:p w14:paraId="2BE5015A" w14:textId="023166BD" w:rsidR="00967265" w:rsidRDefault="00967265" w:rsidP="00CD13FE">
      <w:pPr>
        <w:ind w:left="720"/>
      </w:pPr>
      <w:r>
        <w:t xml:space="preserve">Example </w:t>
      </w:r>
      <w:r w:rsidR="003C4ABE">
        <w:t>3</w:t>
      </w:r>
      <w:r>
        <w:t xml:space="preserve">: The 2011 </w:t>
      </w:r>
      <w:r w:rsidR="002B2779">
        <w:t>recognition of the</w:t>
      </w:r>
      <w:r>
        <w:t xml:space="preserve"> Republic of South Sudan </w:t>
      </w:r>
      <w:r w:rsidR="002B2779">
        <w:t>as an entity separate from Sudan in independence</w:t>
      </w:r>
      <w:r w:rsidR="003C4ABE">
        <w:t xml:space="preserve">. </w:t>
      </w:r>
      <w:proofErr w:type="gramStart"/>
      <w:r w:rsidR="003C4ABE">
        <w:t>Code “independence</w:t>
      </w:r>
      <w:r>
        <w:t>”</w:t>
      </w:r>
      <w:r w:rsidR="003C4ABE">
        <w:t xml:space="preserve"> (2).</w:t>
      </w:r>
      <w:proofErr w:type="gramEnd"/>
    </w:p>
    <w:p w14:paraId="0B719EC8" w14:textId="6EA40CC0" w:rsidR="00967265" w:rsidRDefault="00967265" w:rsidP="00CD13FE">
      <w:pPr>
        <w:ind w:left="720"/>
      </w:pPr>
      <w:r>
        <w:t xml:space="preserve">Example </w:t>
      </w:r>
      <w:r w:rsidR="003C4ABE">
        <w:t>4</w:t>
      </w:r>
      <w:r>
        <w:t xml:space="preserve">: In 1939, Mussolini invaded Albania and declared the country part of the Italian Empire. Albanians resisted the Italian occupation, until it ended in 1943 and was replaced by German occupation. Resistance continued and was led by the growing Communist movement within the country. By the end of 1944, Albanian forces had regained control of most of the country and a provisional Communist government was set up. In the following years, Albania was able to regain the territory that had fallen to Italy. </w:t>
      </w:r>
      <w:proofErr w:type="gramStart"/>
      <w:r w:rsidR="003C4ABE">
        <w:t>Code “independence</w:t>
      </w:r>
      <w:r>
        <w:t>”</w:t>
      </w:r>
      <w:r w:rsidR="003C4ABE">
        <w:t xml:space="preserve"> (2).</w:t>
      </w:r>
      <w:proofErr w:type="gramEnd"/>
    </w:p>
    <w:p w14:paraId="11AD14BB" w14:textId="3FFD21F8" w:rsidR="00967265" w:rsidRPr="002B2779" w:rsidRDefault="00967265" w:rsidP="00967265">
      <w:pPr>
        <w:rPr>
          <w:b/>
        </w:rPr>
      </w:pPr>
      <w:r>
        <w:rPr>
          <w:b/>
        </w:rPr>
        <w:t>Q</w:t>
      </w:r>
      <w:r w:rsidRPr="00C20C89">
        <w:rPr>
          <w:b/>
        </w:rPr>
        <w:t xml:space="preserve">7. </w:t>
      </w:r>
      <w:proofErr w:type="gramStart"/>
      <w:r>
        <w:rPr>
          <w:b/>
        </w:rPr>
        <w:t>Claim of Sovereignty</w:t>
      </w:r>
      <w:r w:rsidR="002B2779">
        <w:rPr>
          <w:b/>
        </w:rPr>
        <w:t>.</w:t>
      </w:r>
      <w:proofErr w:type="gramEnd"/>
      <w:r w:rsidR="002B2779">
        <w:rPr>
          <w:b/>
        </w:rPr>
        <w:t xml:space="preserve"> </w:t>
      </w:r>
      <w:r>
        <w:t>States sometimes occupy another state's territory without claiming sovereignty over that territory. Article 42 of Hague IV (1907) states: “Territory is considered occupied when it is actually placed under the authority of the hostile army. The occupation extends only to the territory where such authority has been established and can be exercised.</w:t>
      </w:r>
      <w:r w:rsidR="00AA1238">
        <w:t>”</w:t>
      </w:r>
      <w:r>
        <w:t xml:space="preserve">  An occupying power does not claim to have acquired sovereignty over the occupied territory.   </w:t>
      </w:r>
      <w:r w:rsidRPr="009D1C36">
        <w:t>Coding options are as follows: (0) "</w:t>
      </w:r>
      <w:r w:rsidR="00AA1238">
        <w:t>y</w:t>
      </w:r>
      <w:r>
        <w:t>es</w:t>
      </w:r>
      <w:r w:rsidRPr="009D1C36">
        <w:t xml:space="preserve">" </w:t>
      </w:r>
      <w:r>
        <w:t>if there is a claim of sovereignty</w:t>
      </w:r>
      <w:r w:rsidR="00AA1238">
        <w:t>;</w:t>
      </w:r>
      <w:r>
        <w:t xml:space="preserve"> </w:t>
      </w:r>
      <w:r w:rsidRPr="009D1C36">
        <w:t>(1) "</w:t>
      </w:r>
      <w:r w:rsidR="00AA1238">
        <w:t>n</w:t>
      </w:r>
      <w:r>
        <w:t>o</w:t>
      </w:r>
      <w:r w:rsidRPr="009D1C36">
        <w:t xml:space="preserve">" </w:t>
      </w:r>
      <w:r>
        <w:t>if there is no claim of sovereignty</w:t>
      </w:r>
      <w:r w:rsidR="00AA1238">
        <w:t>; t</w:t>
      </w:r>
      <w:r>
        <w:t xml:space="preserve">his includes cases where </w:t>
      </w:r>
      <w:r w:rsidRPr="009D1C36">
        <w:t xml:space="preserve">a state is occupied or partially occupied (except </w:t>
      </w:r>
      <w:r w:rsidRPr="003C4ABE">
        <w:rPr>
          <w:i/>
        </w:rPr>
        <w:t xml:space="preserve">de </w:t>
      </w:r>
      <w:proofErr w:type="spellStart"/>
      <w:r w:rsidRPr="003C4ABE">
        <w:rPr>
          <w:i/>
        </w:rPr>
        <w:t>minimis</w:t>
      </w:r>
      <w:proofErr w:type="spellEnd"/>
      <w:r w:rsidRPr="009D1C36">
        <w:t xml:space="preserve"> partial occupation)</w:t>
      </w:r>
      <w:r>
        <w:t>;</w:t>
      </w:r>
      <w:r w:rsidRPr="009D1C36">
        <w:t xml:space="preserve"> </w:t>
      </w:r>
      <w:r>
        <w:t xml:space="preserve">(2) “Multinational organization” if a state is occupied pursuant to a mandate from a multinational organization (League of Nations mandates, UN trust territories, and similar juridical institutions). </w:t>
      </w:r>
    </w:p>
    <w:p w14:paraId="3800FD1C" w14:textId="77777777" w:rsidR="00DF2A0F" w:rsidRPr="00DF2A0F" w:rsidRDefault="00CD13FE" w:rsidP="00DF2A0F">
      <w:pPr>
        <w:pStyle w:val="Heading1"/>
        <w:numPr>
          <w:ilvl w:val="0"/>
          <w:numId w:val="2"/>
        </w:numPr>
        <w:rPr>
          <w:b/>
        </w:rPr>
      </w:pPr>
      <w:r>
        <w:rPr>
          <w:b/>
        </w:rPr>
        <w:lastRenderedPageBreak/>
        <w:t>Trac</w:t>
      </w:r>
      <w:r w:rsidR="007413A5">
        <w:rPr>
          <w:b/>
        </w:rPr>
        <w:t>king Reversions in the TC Data</w:t>
      </w:r>
    </w:p>
    <w:p w14:paraId="18FAF756" w14:textId="77777777" w:rsidR="004B50AB" w:rsidRDefault="00592AEB" w:rsidP="004B50AB">
      <w:r>
        <w:t xml:space="preserve">In an effort to understand </w:t>
      </w:r>
      <w:r w:rsidR="00FB79D9">
        <w:t>nature of territorial conquest over time</w:t>
      </w:r>
      <w:r>
        <w:t xml:space="preserve">, </w:t>
      </w:r>
      <w:r w:rsidR="004B50AB">
        <w:t xml:space="preserve">we </w:t>
      </w:r>
      <w:r w:rsidR="00FB79D9">
        <w:t>sought to understand the</w:t>
      </w:r>
      <w:r w:rsidR="004B50AB">
        <w:t xml:space="preserve"> permanence of conquests. </w:t>
      </w:r>
      <w:r w:rsidR="00FB79D9">
        <w:t xml:space="preserve">We tracked this information in two ways.  First, coders were asked to track whether a particular territorial transfer is a reversion in Q2 (this is backward looking, tracking whether the current transfer is </w:t>
      </w:r>
      <w:r w:rsidR="00FB79D9" w:rsidRPr="00FB79D9">
        <w:rPr>
          <w:i/>
        </w:rPr>
        <w:t>itself</w:t>
      </w:r>
      <w:r w:rsidR="00FB79D9">
        <w:t xml:space="preserve"> a reversion of an earlier transfer).  In addition, we</w:t>
      </w:r>
      <w:r w:rsidR="004B50AB">
        <w:t xml:space="preserve"> employ an algorithm to match transfers of territory longitudinally</w:t>
      </w:r>
      <w:r w:rsidR="00FB79D9">
        <w:t xml:space="preserve">, to track whether a given transfer is later reverted (this is forward looking, tracking whether the current transfer is reverted </w:t>
      </w:r>
      <w:r w:rsidR="00FB79D9" w:rsidRPr="00FB79D9">
        <w:rPr>
          <w:i/>
        </w:rPr>
        <w:t>in the future</w:t>
      </w:r>
      <w:r w:rsidR="00FB79D9">
        <w:t>)</w:t>
      </w:r>
      <w:r w:rsidR="004B50AB">
        <w:t>. The algorithm primarily relies on the following information:</w:t>
      </w:r>
    </w:p>
    <w:p w14:paraId="6EEF61C0" w14:textId="1A998D61" w:rsidR="006131CC" w:rsidRDefault="006131CC" w:rsidP="004B50AB">
      <w:pPr>
        <w:pStyle w:val="ListParagraph"/>
        <w:numPr>
          <w:ilvl w:val="0"/>
          <w:numId w:val="3"/>
        </w:numPr>
      </w:pPr>
      <w:proofErr w:type="gramStart"/>
      <w:r>
        <w:t>the</w:t>
      </w:r>
      <w:proofErr w:type="gramEnd"/>
      <w:r>
        <w:t xml:space="preserve"> names of the gaining and losing entities to identify all subsequent conflicts in which a</w:t>
      </w:r>
      <w:r w:rsidR="00477219">
        <w:t xml:space="preserve"> transfer may have been </w:t>
      </w:r>
      <w:r w:rsidR="00D56EA4">
        <w:t>reversed</w:t>
      </w:r>
      <w:r w:rsidR="004B50AB">
        <w:t>.</w:t>
      </w:r>
    </w:p>
    <w:p w14:paraId="7085F5D6" w14:textId="77777777" w:rsidR="007B38A5" w:rsidRDefault="006131CC" w:rsidP="006131CC">
      <w:pPr>
        <w:pStyle w:val="ListParagraph"/>
        <w:numPr>
          <w:ilvl w:val="0"/>
          <w:numId w:val="3"/>
        </w:numPr>
      </w:pPr>
      <w:proofErr w:type="gramStart"/>
      <w:r>
        <w:t>the</w:t>
      </w:r>
      <w:proofErr w:type="gramEnd"/>
      <w:r>
        <w:t xml:space="preserve"> area of the territory transferred to determine whether </w:t>
      </w:r>
      <w:r w:rsidR="00FB79D9">
        <w:t>the two transfers are</w:t>
      </w:r>
      <w:r>
        <w:t xml:space="preserve"> similarly</w:t>
      </w:r>
      <w:r w:rsidR="00477219">
        <w:t xml:space="preserve"> sized</w:t>
      </w:r>
      <w:r w:rsidR="004B50AB">
        <w:t>.</w:t>
      </w:r>
    </w:p>
    <w:p w14:paraId="5E3512F1" w14:textId="77777777" w:rsidR="00477219" w:rsidRDefault="00477219" w:rsidP="006131CC">
      <w:r w:rsidRPr="00477219">
        <w:rPr>
          <w:b/>
        </w:rPr>
        <w:t>Automatic assignment—</w:t>
      </w:r>
      <w:r w:rsidRPr="00477219">
        <w:t>t</w:t>
      </w:r>
      <w:r w:rsidR="006131CC">
        <w:t xml:space="preserve">he algorithm considers a </w:t>
      </w:r>
      <w:r>
        <w:t>conflict to be reverted (</w:t>
      </w:r>
      <w:r w:rsidR="006131CC">
        <w:t>reverting</w:t>
      </w:r>
      <w:r>
        <w:t>)</w:t>
      </w:r>
      <w:r w:rsidR="006131CC">
        <w:t xml:space="preserve"> if the g</w:t>
      </w:r>
      <w:r>
        <w:t>aining (losing) entity of the first matches the losing (gaining) entity of the second,</w:t>
      </w:r>
      <w:r w:rsidR="006131CC">
        <w:t xml:space="preserve"> and the area involved is within 10% or 10 square kilome</w:t>
      </w:r>
      <w:r w:rsidR="005C4617">
        <w:t xml:space="preserve">ters of the original transfer. </w:t>
      </w:r>
    </w:p>
    <w:p w14:paraId="35249FA9" w14:textId="77777777" w:rsidR="006131CC" w:rsidRDefault="00477219" w:rsidP="006131CC">
      <w:r w:rsidRPr="00477219">
        <w:rPr>
          <w:b/>
        </w:rPr>
        <w:t>Manual assignment—</w:t>
      </w:r>
      <w:r>
        <w:t>f</w:t>
      </w:r>
      <w:r w:rsidR="005C4617">
        <w:t xml:space="preserve">ollowing </w:t>
      </w:r>
      <w:r>
        <w:t xml:space="preserve">the </w:t>
      </w:r>
      <w:r w:rsidR="005C4617">
        <w:t xml:space="preserve">automatic assignment, we use </w:t>
      </w:r>
      <w:r>
        <w:t>the</w:t>
      </w:r>
      <w:r w:rsidR="005C4617">
        <w:t xml:space="preserve"> “10 and 10” rule to create a list of conflicts without matching political entities to be considered for manual assignment. </w:t>
      </w:r>
    </w:p>
    <w:p w14:paraId="590DF6C0" w14:textId="77777777" w:rsidR="003C13D7" w:rsidRDefault="00FD38CE" w:rsidP="00FD38CE">
      <w:r w:rsidRPr="00FD38CE">
        <w:t>For example,</w:t>
      </w:r>
      <w:r w:rsidR="003C13D7">
        <w:t xml:space="preserve"> COW reports that the United Kingdom obtained 389,362 square kilometers from an unspecified entity in 1893 (transfer 340). COW also reports that, in 1980, Zimbabwe gains 390,662 square kilometers in its independence from the United Kingdom (transfer 819). Because Zimbabwe was not part of the state system in 1893, it would be inappropriate to code the original transfer as coming from Zimbabwe (</w:t>
      </w:r>
      <w:r>
        <w:t>which would make</w:t>
      </w:r>
      <w:r w:rsidR="003C13D7">
        <w:t xml:space="preserve"> it a cand</w:t>
      </w:r>
      <w:r>
        <w:t>idate for automatic assignment).</w:t>
      </w:r>
      <w:r w:rsidR="003C13D7">
        <w:t xml:space="preserve"> </w:t>
      </w:r>
      <w:r>
        <w:t>H</w:t>
      </w:r>
      <w:r w:rsidR="003C13D7">
        <w:t xml:space="preserve">owever </w:t>
      </w:r>
      <w:r w:rsidR="005625F6">
        <w:t xml:space="preserve">the independence in 1980 is clearly a reversion of the first transfer. </w:t>
      </w:r>
      <w:r>
        <w:t>Therefore the reversion is coded manually.</w:t>
      </w:r>
    </w:p>
    <w:p w14:paraId="07C01439" w14:textId="77777777" w:rsidR="00663946" w:rsidRDefault="00663946" w:rsidP="00663946">
      <w:r>
        <w:t>Additionally, we use the Q2</w:t>
      </w:r>
      <w:r w:rsidR="00FD38CE">
        <w:t xml:space="preserve"> (reversion)</w:t>
      </w:r>
      <w:r>
        <w:t xml:space="preserve"> codes from section 2 to check the type-I and type-II error of </w:t>
      </w:r>
      <w:r w:rsidR="00FD38CE">
        <w:t>this</w:t>
      </w:r>
      <w:r>
        <w:t xml:space="preserve"> procedure. </w:t>
      </w:r>
      <w:r w:rsidR="00FD38CE">
        <w:t xml:space="preserve">This information was used to develop the “10 and 10” rule, but we also used it to correct information when the best version of the algorithm was reached. </w:t>
      </w:r>
      <w:r>
        <w:t>Conflicts between the reversions identified by the algorithm were reconciled, either by</w:t>
      </w:r>
      <w:r w:rsidR="008928D3">
        <w:t xml:space="preserve"> (1)</w:t>
      </w:r>
      <w:r>
        <w:t xml:space="preserve"> correcting Q2 information</w:t>
      </w:r>
      <w:r w:rsidR="00DF2A0F">
        <w:t xml:space="preserve"> in the legal categories data,</w:t>
      </w:r>
      <w:r w:rsidR="008928D3">
        <w:t xml:space="preserve"> (2) correcting apparent errors in the TC data</w:t>
      </w:r>
      <w:r>
        <w:t>, or</w:t>
      </w:r>
      <w:r w:rsidR="008928D3">
        <w:t xml:space="preserve"> (3)</w:t>
      </w:r>
      <w:r>
        <w:t xml:space="preserve"> by </w:t>
      </w:r>
      <w:r w:rsidR="008928D3">
        <w:t>creating exceptions to the “10 and 10” rule.</w:t>
      </w:r>
      <w:r w:rsidR="000C2B33">
        <w:t xml:space="preserve"> </w:t>
      </w:r>
    </w:p>
    <w:p w14:paraId="67850E69" w14:textId="6F960505" w:rsidR="00FB79D9" w:rsidRPr="00D56EA4" w:rsidRDefault="00FB79D9" w:rsidP="00663946">
      <w:pPr>
        <w:rPr>
          <w:b/>
        </w:rPr>
      </w:pPr>
      <w:proofErr w:type="gramStart"/>
      <w:r>
        <w:rPr>
          <w:b/>
        </w:rPr>
        <w:t>Results of the matching.</w:t>
      </w:r>
      <w:proofErr w:type="gramEnd"/>
      <w:r>
        <w:rPr>
          <w:b/>
        </w:rPr>
        <w:t xml:space="preserve"> </w:t>
      </w:r>
      <w:r>
        <w:t>Tables 1 and 2 show the results of the procedure. Automatic assignments make up the bulk of the identified cases. As noted above, all reversions were benchmarked against the reversion flag created by the cod</w:t>
      </w:r>
      <w:r w:rsidR="00D56EA4">
        <w:t>ers, as described in section 2.</w:t>
      </w:r>
    </w:p>
    <w:tbl>
      <w:tblPr>
        <w:tblW w:w="6340" w:type="dxa"/>
        <w:jc w:val="center"/>
        <w:tblLook w:val="04A0" w:firstRow="1" w:lastRow="0" w:firstColumn="1" w:lastColumn="0" w:noHBand="0" w:noVBand="1"/>
      </w:tblPr>
      <w:tblGrid>
        <w:gridCol w:w="5040"/>
        <w:gridCol w:w="340"/>
        <w:gridCol w:w="960"/>
      </w:tblGrid>
      <w:tr w:rsidR="007F294A" w:rsidRPr="00CD0BCA" w14:paraId="34DD3A95" w14:textId="77777777" w:rsidTr="00AA3C4F">
        <w:trPr>
          <w:trHeight w:val="315"/>
          <w:jc w:val="center"/>
        </w:trPr>
        <w:tc>
          <w:tcPr>
            <w:tcW w:w="5040" w:type="dxa"/>
            <w:tcBorders>
              <w:top w:val="nil"/>
              <w:left w:val="nil"/>
              <w:bottom w:val="double" w:sz="6" w:space="0" w:color="auto"/>
              <w:right w:val="nil"/>
            </w:tcBorders>
            <w:shd w:val="clear" w:color="auto" w:fill="auto"/>
            <w:noWrap/>
            <w:vAlign w:val="bottom"/>
            <w:hideMark/>
          </w:tcPr>
          <w:p w14:paraId="7686C4DB" w14:textId="77777777" w:rsidR="007F294A" w:rsidRPr="00CD0BCA" w:rsidRDefault="007F294A" w:rsidP="005653ED">
            <w:pPr>
              <w:spacing w:after="0" w:line="240" w:lineRule="auto"/>
              <w:jc w:val="left"/>
              <w:rPr>
                <w:rFonts w:ascii="Calibri" w:eastAsia="Times New Roman" w:hAnsi="Calibri" w:cs="Times New Roman"/>
                <w:color w:val="000000"/>
                <w:sz w:val="22"/>
                <w:szCs w:val="22"/>
              </w:rPr>
            </w:pPr>
            <w:r w:rsidRPr="00CD0BCA">
              <w:rPr>
                <w:rFonts w:ascii="Calibri" w:eastAsia="Times New Roman" w:hAnsi="Calibri" w:cs="Times New Roman"/>
                <w:color w:val="000000"/>
                <w:sz w:val="22"/>
                <w:szCs w:val="22"/>
              </w:rPr>
              <w:t> </w:t>
            </w:r>
            <w:r>
              <w:rPr>
                <w:rFonts w:ascii="Calibri" w:eastAsia="Times New Roman" w:hAnsi="Calibri" w:cs="Times New Roman"/>
                <w:color w:val="000000"/>
                <w:sz w:val="22"/>
                <w:szCs w:val="22"/>
              </w:rPr>
              <w:t xml:space="preserve">Table </w:t>
            </w:r>
            <w:r w:rsidR="005653ED">
              <w:rPr>
                <w:rFonts w:ascii="Calibri" w:eastAsia="Times New Roman" w:hAnsi="Calibri" w:cs="Times New Roman"/>
                <w:color w:val="000000"/>
                <w:sz w:val="22"/>
                <w:szCs w:val="22"/>
              </w:rPr>
              <w:t>1</w:t>
            </w:r>
            <w:r>
              <w:rPr>
                <w:rFonts w:ascii="Calibri" w:eastAsia="Times New Roman" w:hAnsi="Calibri" w:cs="Times New Roman"/>
                <w:color w:val="000000"/>
                <w:sz w:val="22"/>
                <w:szCs w:val="22"/>
              </w:rPr>
              <w:t>: Distribution of Reverted Assignments</w:t>
            </w:r>
          </w:p>
        </w:tc>
        <w:tc>
          <w:tcPr>
            <w:tcW w:w="340" w:type="dxa"/>
            <w:tcBorders>
              <w:top w:val="nil"/>
              <w:left w:val="nil"/>
              <w:bottom w:val="double" w:sz="6" w:space="0" w:color="auto"/>
              <w:right w:val="nil"/>
            </w:tcBorders>
            <w:shd w:val="clear" w:color="auto" w:fill="auto"/>
            <w:noWrap/>
            <w:vAlign w:val="bottom"/>
            <w:hideMark/>
          </w:tcPr>
          <w:p w14:paraId="2B3B0949" w14:textId="77777777" w:rsidR="007F294A" w:rsidRPr="00CD0BCA" w:rsidRDefault="007F294A" w:rsidP="00AA3C4F">
            <w:pPr>
              <w:spacing w:after="0" w:line="240" w:lineRule="auto"/>
              <w:jc w:val="left"/>
              <w:rPr>
                <w:rFonts w:ascii="Calibri" w:eastAsia="Times New Roman" w:hAnsi="Calibri" w:cs="Times New Roman"/>
                <w:color w:val="000000"/>
                <w:sz w:val="22"/>
                <w:szCs w:val="22"/>
              </w:rPr>
            </w:pPr>
            <w:r w:rsidRPr="00CD0BCA">
              <w:rPr>
                <w:rFonts w:ascii="Calibri" w:eastAsia="Times New Roman" w:hAnsi="Calibri" w:cs="Times New Roman"/>
                <w:color w:val="000000"/>
                <w:sz w:val="22"/>
                <w:szCs w:val="22"/>
              </w:rPr>
              <w:t> </w:t>
            </w:r>
          </w:p>
        </w:tc>
        <w:tc>
          <w:tcPr>
            <w:tcW w:w="960" w:type="dxa"/>
            <w:tcBorders>
              <w:top w:val="nil"/>
              <w:left w:val="nil"/>
              <w:bottom w:val="double" w:sz="6" w:space="0" w:color="auto"/>
              <w:right w:val="nil"/>
            </w:tcBorders>
            <w:shd w:val="clear" w:color="auto" w:fill="auto"/>
            <w:noWrap/>
            <w:vAlign w:val="bottom"/>
            <w:hideMark/>
          </w:tcPr>
          <w:p w14:paraId="12DFF596" w14:textId="77777777" w:rsidR="007F294A" w:rsidRPr="00CD0BCA" w:rsidRDefault="007F294A" w:rsidP="00AA3C4F">
            <w:pPr>
              <w:spacing w:after="0" w:line="240" w:lineRule="auto"/>
              <w:jc w:val="left"/>
              <w:rPr>
                <w:rFonts w:ascii="Calibri" w:eastAsia="Times New Roman" w:hAnsi="Calibri" w:cs="Times New Roman"/>
                <w:color w:val="000000"/>
                <w:sz w:val="22"/>
                <w:szCs w:val="22"/>
              </w:rPr>
            </w:pPr>
            <w:r w:rsidRPr="00CD0BCA">
              <w:rPr>
                <w:rFonts w:ascii="Calibri" w:eastAsia="Times New Roman" w:hAnsi="Calibri" w:cs="Times New Roman"/>
                <w:color w:val="000000"/>
                <w:sz w:val="22"/>
                <w:szCs w:val="22"/>
              </w:rPr>
              <w:t> </w:t>
            </w:r>
          </w:p>
        </w:tc>
      </w:tr>
      <w:tr w:rsidR="007F294A" w:rsidRPr="00CD0BCA" w14:paraId="652FD55C" w14:textId="77777777" w:rsidTr="00AA3C4F">
        <w:trPr>
          <w:trHeight w:val="315"/>
          <w:jc w:val="center"/>
        </w:trPr>
        <w:tc>
          <w:tcPr>
            <w:tcW w:w="5040" w:type="dxa"/>
            <w:tcBorders>
              <w:top w:val="nil"/>
              <w:left w:val="nil"/>
              <w:bottom w:val="nil"/>
              <w:right w:val="nil"/>
            </w:tcBorders>
            <w:shd w:val="clear" w:color="auto" w:fill="auto"/>
            <w:noWrap/>
            <w:vAlign w:val="bottom"/>
            <w:hideMark/>
          </w:tcPr>
          <w:p w14:paraId="261D3DB9" w14:textId="77777777" w:rsidR="007F294A" w:rsidRPr="00CD0BCA" w:rsidRDefault="007F294A" w:rsidP="00AA3C4F">
            <w:pPr>
              <w:spacing w:after="0" w:line="240" w:lineRule="auto"/>
              <w:jc w:val="left"/>
              <w:rPr>
                <w:rFonts w:ascii="Calibri" w:eastAsia="Times New Roman" w:hAnsi="Calibri" w:cs="Times New Roman"/>
                <w:color w:val="000000"/>
                <w:sz w:val="22"/>
                <w:szCs w:val="22"/>
              </w:rPr>
            </w:pPr>
          </w:p>
        </w:tc>
        <w:tc>
          <w:tcPr>
            <w:tcW w:w="340" w:type="dxa"/>
            <w:tcBorders>
              <w:top w:val="nil"/>
              <w:left w:val="nil"/>
              <w:bottom w:val="nil"/>
              <w:right w:val="nil"/>
            </w:tcBorders>
            <w:shd w:val="clear" w:color="auto" w:fill="auto"/>
            <w:noWrap/>
            <w:vAlign w:val="bottom"/>
            <w:hideMark/>
          </w:tcPr>
          <w:p w14:paraId="4AD5A2A5" w14:textId="77777777" w:rsidR="007F294A" w:rsidRPr="00CD0BCA" w:rsidRDefault="007F294A" w:rsidP="00AA3C4F">
            <w:pPr>
              <w:spacing w:after="0" w:line="240" w:lineRule="auto"/>
              <w:jc w:val="left"/>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00CD75E0" w14:textId="77777777" w:rsidR="007F294A" w:rsidRPr="00CD0BCA" w:rsidRDefault="007F294A" w:rsidP="00AA3C4F">
            <w:pPr>
              <w:spacing w:after="0" w:line="240" w:lineRule="auto"/>
              <w:jc w:val="left"/>
              <w:rPr>
                <w:rFonts w:ascii="Calibri" w:eastAsia="Times New Roman" w:hAnsi="Calibri" w:cs="Times New Roman"/>
                <w:color w:val="000000"/>
                <w:sz w:val="22"/>
                <w:szCs w:val="22"/>
              </w:rPr>
            </w:pPr>
          </w:p>
        </w:tc>
      </w:tr>
      <w:tr w:rsidR="007F294A" w:rsidRPr="00CD0BCA" w14:paraId="5155DA33" w14:textId="77777777" w:rsidTr="00AA3C4F">
        <w:trPr>
          <w:trHeight w:val="300"/>
          <w:jc w:val="center"/>
        </w:trPr>
        <w:tc>
          <w:tcPr>
            <w:tcW w:w="5040" w:type="dxa"/>
            <w:tcBorders>
              <w:top w:val="single" w:sz="4" w:space="0" w:color="auto"/>
              <w:left w:val="nil"/>
              <w:bottom w:val="single" w:sz="4" w:space="0" w:color="auto"/>
              <w:right w:val="nil"/>
            </w:tcBorders>
            <w:shd w:val="clear" w:color="auto" w:fill="auto"/>
            <w:vAlign w:val="center"/>
            <w:hideMark/>
          </w:tcPr>
          <w:p w14:paraId="77191318" w14:textId="77777777" w:rsidR="007F294A" w:rsidRPr="00CD0BCA" w:rsidRDefault="007F294A" w:rsidP="00AA3C4F">
            <w:pPr>
              <w:spacing w:after="0" w:line="240" w:lineRule="auto"/>
              <w:rPr>
                <w:rFonts w:ascii="Calibri" w:eastAsia="Times New Roman" w:hAnsi="Calibri" w:cs="Times New Roman"/>
                <w:color w:val="000000"/>
              </w:rPr>
            </w:pPr>
            <w:r w:rsidRPr="00CD0BCA">
              <w:rPr>
                <w:rFonts w:ascii="Calibri" w:eastAsia="Times New Roman" w:hAnsi="Calibri" w:cs="Times New Roman"/>
                <w:color w:val="000000"/>
              </w:rPr>
              <w:t>Method by which transfer was identified as reverted</w:t>
            </w:r>
          </w:p>
        </w:tc>
        <w:tc>
          <w:tcPr>
            <w:tcW w:w="340" w:type="dxa"/>
            <w:tcBorders>
              <w:top w:val="single" w:sz="4" w:space="0" w:color="auto"/>
              <w:left w:val="nil"/>
              <w:bottom w:val="single" w:sz="4" w:space="0" w:color="auto"/>
              <w:right w:val="nil"/>
            </w:tcBorders>
            <w:shd w:val="clear" w:color="auto" w:fill="auto"/>
            <w:vAlign w:val="center"/>
            <w:hideMark/>
          </w:tcPr>
          <w:p w14:paraId="17FE81DF" w14:textId="77777777" w:rsidR="007F294A" w:rsidRPr="00CD0BCA" w:rsidRDefault="007F294A" w:rsidP="00AA3C4F">
            <w:pPr>
              <w:spacing w:after="0" w:line="240" w:lineRule="auto"/>
              <w:rPr>
                <w:rFonts w:ascii="Calibri" w:eastAsia="Times New Roman" w:hAnsi="Calibri" w:cs="Times New Roman"/>
                <w:color w:val="000000"/>
              </w:rPr>
            </w:pPr>
            <w:r w:rsidRPr="00CD0BCA">
              <w:rPr>
                <w:rFonts w:ascii="Calibri" w:eastAsia="Times New Roman" w:hAnsi="Calibri" w:cs="Times New Roman"/>
                <w:color w:val="000000"/>
              </w:rPr>
              <w:t> </w:t>
            </w:r>
          </w:p>
        </w:tc>
        <w:tc>
          <w:tcPr>
            <w:tcW w:w="960" w:type="dxa"/>
            <w:tcBorders>
              <w:top w:val="single" w:sz="4" w:space="0" w:color="auto"/>
              <w:left w:val="nil"/>
              <w:bottom w:val="single" w:sz="4" w:space="0" w:color="auto"/>
              <w:right w:val="nil"/>
            </w:tcBorders>
            <w:shd w:val="clear" w:color="auto" w:fill="auto"/>
            <w:vAlign w:val="center"/>
            <w:hideMark/>
          </w:tcPr>
          <w:p w14:paraId="19C90F1F" w14:textId="77777777" w:rsidR="007F294A" w:rsidRPr="00CD0BCA" w:rsidRDefault="007F294A" w:rsidP="00AA3C4F">
            <w:pPr>
              <w:spacing w:after="0" w:line="240" w:lineRule="auto"/>
              <w:jc w:val="center"/>
              <w:rPr>
                <w:rFonts w:ascii="Calibri" w:eastAsia="Times New Roman" w:hAnsi="Calibri" w:cs="Times New Roman"/>
                <w:color w:val="000000"/>
              </w:rPr>
            </w:pPr>
            <w:r w:rsidRPr="00CD0BCA">
              <w:rPr>
                <w:rFonts w:ascii="Calibri" w:eastAsia="Times New Roman" w:hAnsi="Calibri" w:cs="Times New Roman"/>
                <w:color w:val="000000"/>
              </w:rPr>
              <w:t>Count</w:t>
            </w:r>
          </w:p>
        </w:tc>
      </w:tr>
      <w:tr w:rsidR="007F294A" w:rsidRPr="00CD0BCA" w14:paraId="19BB0D38" w14:textId="77777777" w:rsidTr="00AA3C4F">
        <w:trPr>
          <w:trHeight w:val="300"/>
          <w:jc w:val="center"/>
        </w:trPr>
        <w:tc>
          <w:tcPr>
            <w:tcW w:w="5040" w:type="dxa"/>
            <w:tcBorders>
              <w:top w:val="nil"/>
              <w:left w:val="nil"/>
              <w:bottom w:val="nil"/>
              <w:right w:val="nil"/>
            </w:tcBorders>
            <w:shd w:val="clear" w:color="auto" w:fill="auto"/>
            <w:vAlign w:val="center"/>
            <w:hideMark/>
          </w:tcPr>
          <w:p w14:paraId="65A0AA5F" w14:textId="77777777" w:rsidR="007F294A" w:rsidRPr="00CD0BCA" w:rsidRDefault="007F294A" w:rsidP="00AA3C4F">
            <w:pPr>
              <w:spacing w:after="0" w:line="240" w:lineRule="auto"/>
              <w:rPr>
                <w:rFonts w:ascii="Calibri" w:eastAsia="Times New Roman" w:hAnsi="Calibri" w:cs="Times New Roman"/>
                <w:color w:val="000000"/>
              </w:rPr>
            </w:pPr>
            <w:r w:rsidRPr="00CD0BCA">
              <w:rPr>
                <w:rFonts w:ascii="Calibri" w:eastAsia="Times New Roman" w:hAnsi="Calibri" w:cs="Times New Roman"/>
                <w:color w:val="000000"/>
              </w:rPr>
              <w:t>Manual: Based on land match</w:t>
            </w:r>
          </w:p>
        </w:tc>
        <w:tc>
          <w:tcPr>
            <w:tcW w:w="340" w:type="dxa"/>
            <w:tcBorders>
              <w:top w:val="nil"/>
              <w:left w:val="nil"/>
              <w:bottom w:val="nil"/>
              <w:right w:val="nil"/>
            </w:tcBorders>
            <w:shd w:val="clear" w:color="auto" w:fill="auto"/>
            <w:vAlign w:val="center"/>
            <w:hideMark/>
          </w:tcPr>
          <w:p w14:paraId="5FB4E22A" w14:textId="77777777" w:rsidR="007F294A" w:rsidRPr="00CD0BCA" w:rsidRDefault="007F294A" w:rsidP="00AA3C4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center"/>
            <w:hideMark/>
          </w:tcPr>
          <w:p w14:paraId="3955556D" w14:textId="77777777" w:rsidR="007F294A" w:rsidRPr="00CD0BCA" w:rsidRDefault="007F294A" w:rsidP="00AA3C4F">
            <w:pPr>
              <w:spacing w:after="0" w:line="240" w:lineRule="auto"/>
              <w:jc w:val="center"/>
              <w:rPr>
                <w:rFonts w:ascii="Calibri" w:eastAsia="Times New Roman" w:hAnsi="Calibri" w:cs="Times New Roman"/>
                <w:color w:val="000000"/>
              </w:rPr>
            </w:pPr>
            <w:r w:rsidRPr="00CD0BCA">
              <w:rPr>
                <w:rFonts w:ascii="Calibri" w:eastAsia="Times New Roman" w:hAnsi="Calibri" w:cs="Times New Roman"/>
                <w:color w:val="000000"/>
              </w:rPr>
              <w:t>5</w:t>
            </w:r>
          </w:p>
        </w:tc>
      </w:tr>
      <w:tr w:rsidR="007F294A" w:rsidRPr="00CD0BCA" w14:paraId="0EA59D46" w14:textId="77777777" w:rsidTr="00AA3C4F">
        <w:trPr>
          <w:trHeight w:val="300"/>
          <w:jc w:val="center"/>
        </w:trPr>
        <w:tc>
          <w:tcPr>
            <w:tcW w:w="5040" w:type="dxa"/>
            <w:tcBorders>
              <w:top w:val="nil"/>
              <w:left w:val="nil"/>
              <w:bottom w:val="nil"/>
              <w:right w:val="nil"/>
            </w:tcBorders>
            <w:shd w:val="clear" w:color="auto" w:fill="auto"/>
            <w:vAlign w:val="center"/>
            <w:hideMark/>
          </w:tcPr>
          <w:p w14:paraId="37F6CFEC" w14:textId="77777777" w:rsidR="007F294A" w:rsidRPr="00CD0BCA" w:rsidRDefault="007F294A" w:rsidP="00AA3C4F">
            <w:pPr>
              <w:spacing w:after="0" w:line="240" w:lineRule="auto"/>
              <w:rPr>
                <w:rFonts w:ascii="Calibri" w:eastAsia="Times New Roman" w:hAnsi="Calibri" w:cs="Times New Roman"/>
                <w:color w:val="000000"/>
              </w:rPr>
            </w:pPr>
            <w:r w:rsidRPr="00CD0BCA">
              <w:rPr>
                <w:rFonts w:ascii="Calibri" w:eastAsia="Times New Roman" w:hAnsi="Calibri" w:cs="Times New Roman"/>
                <w:color w:val="000000"/>
              </w:rPr>
              <w:t>Manual: Based on logical checks</w:t>
            </w:r>
          </w:p>
        </w:tc>
        <w:tc>
          <w:tcPr>
            <w:tcW w:w="340" w:type="dxa"/>
            <w:tcBorders>
              <w:top w:val="nil"/>
              <w:left w:val="nil"/>
              <w:bottom w:val="nil"/>
              <w:right w:val="nil"/>
            </w:tcBorders>
            <w:shd w:val="clear" w:color="auto" w:fill="auto"/>
            <w:vAlign w:val="center"/>
            <w:hideMark/>
          </w:tcPr>
          <w:p w14:paraId="12935B84" w14:textId="77777777" w:rsidR="007F294A" w:rsidRPr="00CD0BCA" w:rsidRDefault="007F294A" w:rsidP="00AA3C4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center"/>
            <w:hideMark/>
          </w:tcPr>
          <w:p w14:paraId="3A2A9512" w14:textId="77777777" w:rsidR="007F294A" w:rsidRPr="00CD0BCA" w:rsidRDefault="007F294A" w:rsidP="00AA3C4F">
            <w:pPr>
              <w:spacing w:after="0" w:line="240" w:lineRule="auto"/>
              <w:jc w:val="center"/>
              <w:rPr>
                <w:rFonts w:ascii="Calibri" w:eastAsia="Times New Roman" w:hAnsi="Calibri" w:cs="Times New Roman"/>
                <w:color w:val="000000"/>
              </w:rPr>
            </w:pPr>
            <w:r w:rsidRPr="00CD0BCA">
              <w:rPr>
                <w:rFonts w:ascii="Calibri" w:eastAsia="Times New Roman" w:hAnsi="Calibri" w:cs="Times New Roman"/>
                <w:color w:val="000000"/>
              </w:rPr>
              <w:t>6</w:t>
            </w:r>
          </w:p>
        </w:tc>
      </w:tr>
      <w:tr w:rsidR="007F294A" w:rsidRPr="00CD0BCA" w14:paraId="21E4188F" w14:textId="77777777" w:rsidTr="00AA3C4F">
        <w:trPr>
          <w:trHeight w:val="300"/>
          <w:jc w:val="center"/>
        </w:trPr>
        <w:tc>
          <w:tcPr>
            <w:tcW w:w="5040" w:type="dxa"/>
            <w:tcBorders>
              <w:top w:val="nil"/>
              <w:left w:val="nil"/>
              <w:bottom w:val="nil"/>
              <w:right w:val="nil"/>
            </w:tcBorders>
            <w:shd w:val="clear" w:color="auto" w:fill="auto"/>
            <w:vAlign w:val="center"/>
            <w:hideMark/>
          </w:tcPr>
          <w:p w14:paraId="028F2FB8" w14:textId="77777777" w:rsidR="007F294A" w:rsidRPr="00CD0BCA" w:rsidRDefault="007F294A" w:rsidP="00AA3C4F">
            <w:pPr>
              <w:spacing w:after="0" w:line="240" w:lineRule="auto"/>
              <w:rPr>
                <w:rFonts w:ascii="Calibri" w:eastAsia="Times New Roman" w:hAnsi="Calibri" w:cs="Times New Roman"/>
                <w:color w:val="000000"/>
              </w:rPr>
            </w:pPr>
            <w:r w:rsidRPr="00CD0BCA">
              <w:rPr>
                <w:rFonts w:ascii="Calibri" w:eastAsia="Times New Roman" w:hAnsi="Calibri" w:cs="Times New Roman"/>
                <w:color w:val="000000"/>
              </w:rPr>
              <w:t>Automatic: Land and names match</w:t>
            </w:r>
          </w:p>
        </w:tc>
        <w:tc>
          <w:tcPr>
            <w:tcW w:w="340" w:type="dxa"/>
            <w:tcBorders>
              <w:top w:val="nil"/>
              <w:left w:val="nil"/>
              <w:bottom w:val="nil"/>
              <w:right w:val="nil"/>
            </w:tcBorders>
            <w:shd w:val="clear" w:color="auto" w:fill="auto"/>
            <w:vAlign w:val="center"/>
            <w:hideMark/>
          </w:tcPr>
          <w:p w14:paraId="4A265C8B" w14:textId="77777777" w:rsidR="007F294A" w:rsidRPr="00CD0BCA" w:rsidRDefault="007F294A" w:rsidP="00AA3C4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center"/>
            <w:hideMark/>
          </w:tcPr>
          <w:p w14:paraId="3CB90AE7" w14:textId="77777777" w:rsidR="007F294A" w:rsidRPr="00CD0BCA" w:rsidRDefault="007F294A" w:rsidP="00AA3C4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34</w:t>
            </w:r>
          </w:p>
        </w:tc>
      </w:tr>
      <w:tr w:rsidR="007F294A" w:rsidRPr="00CD0BCA" w14:paraId="711CEE2D" w14:textId="77777777" w:rsidTr="00AA3C4F">
        <w:trPr>
          <w:trHeight w:val="300"/>
          <w:jc w:val="center"/>
        </w:trPr>
        <w:tc>
          <w:tcPr>
            <w:tcW w:w="5040" w:type="dxa"/>
            <w:tcBorders>
              <w:top w:val="nil"/>
              <w:left w:val="nil"/>
              <w:bottom w:val="nil"/>
              <w:right w:val="nil"/>
            </w:tcBorders>
            <w:shd w:val="clear" w:color="auto" w:fill="auto"/>
            <w:vAlign w:val="center"/>
            <w:hideMark/>
          </w:tcPr>
          <w:p w14:paraId="468EFB38" w14:textId="77777777" w:rsidR="007F294A" w:rsidRPr="00CD0BCA" w:rsidRDefault="007F294A" w:rsidP="00AA3C4F">
            <w:pPr>
              <w:spacing w:after="0" w:line="240" w:lineRule="auto"/>
              <w:rPr>
                <w:rFonts w:ascii="Calibri" w:eastAsia="Times New Roman" w:hAnsi="Calibri" w:cs="Times New Roman"/>
                <w:color w:val="000000"/>
              </w:rPr>
            </w:pPr>
            <w:r w:rsidRPr="00CD0BCA">
              <w:rPr>
                <w:rFonts w:ascii="Calibri" w:eastAsia="Times New Roman" w:hAnsi="Calibri" w:cs="Times New Roman"/>
                <w:color w:val="000000"/>
              </w:rPr>
              <w:t>Not assigned: no reversion</w:t>
            </w:r>
          </w:p>
        </w:tc>
        <w:tc>
          <w:tcPr>
            <w:tcW w:w="340" w:type="dxa"/>
            <w:tcBorders>
              <w:top w:val="nil"/>
              <w:left w:val="nil"/>
              <w:bottom w:val="nil"/>
              <w:right w:val="nil"/>
            </w:tcBorders>
            <w:shd w:val="clear" w:color="auto" w:fill="auto"/>
            <w:vAlign w:val="center"/>
            <w:hideMark/>
          </w:tcPr>
          <w:p w14:paraId="764861F1" w14:textId="77777777" w:rsidR="007F294A" w:rsidRPr="00CD0BCA" w:rsidRDefault="007F294A" w:rsidP="00AA3C4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center"/>
            <w:hideMark/>
          </w:tcPr>
          <w:p w14:paraId="51E24925" w14:textId="77777777" w:rsidR="007F294A" w:rsidRPr="00CD0BCA" w:rsidRDefault="007F294A" w:rsidP="00AA3C4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209</w:t>
            </w:r>
          </w:p>
        </w:tc>
      </w:tr>
      <w:tr w:rsidR="007F294A" w:rsidRPr="00CD0BCA" w14:paraId="7D6DFE51" w14:textId="77777777" w:rsidTr="00AA3C4F">
        <w:trPr>
          <w:trHeight w:val="300"/>
          <w:jc w:val="center"/>
        </w:trPr>
        <w:tc>
          <w:tcPr>
            <w:tcW w:w="5040" w:type="dxa"/>
            <w:tcBorders>
              <w:top w:val="nil"/>
              <w:left w:val="nil"/>
              <w:bottom w:val="nil"/>
              <w:right w:val="nil"/>
            </w:tcBorders>
            <w:shd w:val="clear" w:color="auto" w:fill="auto"/>
            <w:vAlign w:val="center"/>
            <w:hideMark/>
          </w:tcPr>
          <w:p w14:paraId="7DEA171A" w14:textId="77777777" w:rsidR="007F294A" w:rsidRPr="00CD0BCA" w:rsidRDefault="007F294A" w:rsidP="00AA3C4F">
            <w:pPr>
              <w:spacing w:after="0" w:line="240" w:lineRule="auto"/>
              <w:rPr>
                <w:rFonts w:ascii="Calibri" w:eastAsia="Times New Roman" w:hAnsi="Calibri" w:cs="Times New Roman"/>
                <w:color w:val="000000"/>
              </w:rPr>
            </w:pPr>
          </w:p>
        </w:tc>
        <w:tc>
          <w:tcPr>
            <w:tcW w:w="340" w:type="dxa"/>
            <w:tcBorders>
              <w:top w:val="nil"/>
              <w:left w:val="nil"/>
              <w:bottom w:val="nil"/>
              <w:right w:val="nil"/>
            </w:tcBorders>
            <w:shd w:val="clear" w:color="auto" w:fill="auto"/>
            <w:vAlign w:val="center"/>
            <w:hideMark/>
          </w:tcPr>
          <w:p w14:paraId="188529DF" w14:textId="77777777" w:rsidR="007F294A" w:rsidRPr="00CD0BCA" w:rsidRDefault="007F294A" w:rsidP="00AA3C4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center"/>
            <w:hideMark/>
          </w:tcPr>
          <w:p w14:paraId="47A4195E" w14:textId="77777777" w:rsidR="007F294A" w:rsidRPr="00CD0BCA" w:rsidRDefault="007F294A" w:rsidP="00AA3C4F">
            <w:pPr>
              <w:spacing w:after="0" w:line="240" w:lineRule="auto"/>
              <w:jc w:val="center"/>
              <w:rPr>
                <w:rFonts w:ascii="Calibri" w:eastAsia="Times New Roman" w:hAnsi="Calibri" w:cs="Times New Roman"/>
                <w:color w:val="000000"/>
              </w:rPr>
            </w:pPr>
          </w:p>
        </w:tc>
      </w:tr>
      <w:tr w:rsidR="007F294A" w:rsidRPr="00CD0BCA" w14:paraId="41A6962B" w14:textId="77777777" w:rsidTr="00AA3C4F">
        <w:trPr>
          <w:trHeight w:val="300"/>
          <w:jc w:val="center"/>
        </w:trPr>
        <w:tc>
          <w:tcPr>
            <w:tcW w:w="5040" w:type="dxa"/>
            <w:tcBorders>
              <w:top w:val="nil"/>
              <w:left w:val="nil"/>
              <w:bottom w:val="nil"/>
              <w:right w:val="nil"/>
            </w:tcBorders>
            <w:shd w:val="clear" w:color="auto" w:fill="auto"/>
            <w:vAlign w:val="center"/>
            <w:hideMark/>
          </w:tcPr>
          <w:p w14:paraId="7FC25B17" w14:textId="77777777" w:rsidR="007F294A" w:rsidRPr="00CD0BCA" w:rsidRDefault="007F294A" w:rsidP="00AA3C4F">
            <w:pPr>
              <w:spacing w:after="0" w:line="240" w:lineRule="auto"/>
              <w:rPr>
                <w:rFonts w:ascii="Calibri" w:eastAsia="Times New Roman" w:hAnsi="Calibri" w:cs="Times New Roman"/>
                <w:color w:val="000000"/>
              </w:rPr>
            </w:pPr>
            <w:r w:rsidRPr="00CD0BCA">
              <w:rPr>
                <w:rFonts w:ascii="Calibri" w:eastAsia="Times New Roman" w:hAnsi="Calibri" w:cs="Times New Roman"/>
                <w:color w:val="000000"/>
              </w:rPr>
              <w:t>Total</w:t>
            </w:r>
          </w:p>
        </w:tc>
        <w:tc>
          <w:tcPr>
            <w:tcW w:w="340" w:type="dxa"/>
            <w:tcBorders>
              <w:top w:val="nil"/>
              <w:left w:val="nil"/>
              <w:bottom w:val="nil"/>
              <w:right w:val="nil"/>
            </w:tcBorders>
            <w:shd w:val="clear" w:color="auto" w:fill="auto"/>
            <w:vAlign w:val="center"/>
            <w:hideMark/>
          </w:tcPr>
          <w:p w14:paraId="5E2D7053" w14:textId="77777777" w:rsidR="007F294A" w:rsidRPr="00CD0BCA" w:rsidRDefault="007F294A" w:rsidP="00AA3C4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center"/>
            <w:hideMark/>
          </w:tcPr>
          <w:p w14:paraId="103AFA72" w14:textId="77777777" w:rsidR="007F294A" w:rsidRPr="00CD0BCA" w:rsidRDefault="007F294A" w:rsidP="00AA3C4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254</w:t>
            </w:r>
          </w:p>
        </w:tc>
      </w:tr>
      <w:tr w:rsidR="007F294A" w:rsidRPr="00CD0BCA" w14:paraId="4E957E97" w14:textId="77777777" w:rsidTr="00AA3C4F">
        <w:trPr>
          <w:trHeight w:val="315"/>
          <w:jc w:val="center"/>
        </w:trPr>
        <w:tc>
          <w:tcPr>
            <w:tcW w:w="5040" w:type="dxa"/>
            <w:tcBorders>
              <w:top w:val="nil"/>
              <w:left w:val="nil"/>
              <w:bottom w:val="double" w:sz="6" w:space="0" w:color="auto"/>
              <w:right w:val="nil"/>
            </w:tcBorders>
            <w:shd w:val="clear" w:color="auto" w:fill="auto"/>
            <w:noWrap/>
            <w:vAlign w:val="bottom"/>
            <w:hideMark/>
          </w:tcPr>
          <w:p w14:paraId="2EDBD6A6" w14:textId="77777777" w:rsidR="007F294A" w:rsidRPr="00CD0BCA" w:rsidRDefault="007F294A" w:rsidP="00AA3C4F">
            <w:pPr>
              <w:spacing w:after="0" w:line="240" w:lineRule="auto"/>
              <w:jc w:val="left"/>
              <w:rPr>
                <w:rFonts w:ascii="Calibri" w:eastAsia="Times New Roman" w:hAnsi="Calibri" w:cs="Times New Roman"/>
                <w:color w:val="000000"/>
                <w:sz w:val="22"/>
                <w:szCs w:val="22"/>
              </w:rPr>
            </w:pPr>
            <w:r w:rsidRPr="00CD0BCA">
              <w:rPr>
                <w:rFonts w:ascii="Calibri" w:eastAsia="Times New Roman" w:hAnsi="Calibri" w:cs="Times New Roman"/>
                <w:color w:val="000000"/>
                <w:sz w:val="22"/>
                <w:szCs w:val="22"/>
              </w:rPr>
              <w:t> </w:t>
            </w:r>
          </w:p>
        </w:tc>
        <w:tc>
          <w:tcPr>
            <w:tcW w:w="340" w:type="dxa"/>
            <w:tcBorders>
              <w:top w:val="nil"/>
              <w:left w:val="nil"/>
              <w:bottom w:val="double" w:sz="6" w:space="0" w:color="auto"/>
              <w:right w:val="nil"/>
            </w:tcBorders>
            <w:shd w:val="clear" w:color="auto" w:fill="auto"/>
            <w:noWrap/>
            <w:vAlign w:val="bottom"/>
            <w:hideMark/>
          </w:tcPr>
          <w:p w14:paraId="42C66EC7" w14:textId="77777777" w:rsidR="007F294A" w:rsidRPr="00CD0BCA" w:rsidRDefault="007F294A" w:rsidP="00AA3C4F">
            <w:pPr>
              <w:spacing w:after="0" w:line="240" w:lineRule="auto"/>
              <w:jc w:val="left"/>
              <w:rPr>
                <w:rFonts w:ascii="Calibri" w:eastAsia="Times New Roman" w:hAnsi="Calibri" w:cs="Times New Roman"/>
                <w:color w:val="000000"/>
                <w:sz w:val="22"/>
                <w:szCs w:val="22"/>
              </w:rPr>
            </w:pPr>
            <w:r w:rsidRPr="00CD0BCA">
              <w:rPr>
                <w:rFonts w:ascii="Calibri" w:eastAsia="Times New Roman" w:hAnsi="Calibri" w:cs="Times New Roman"/>
                <w:color w:val="000000"/>
                <w:sz w:val="22"/>
                <w:szCs w:val="22"/>
              </w:rPr>
              <w:t> </w:t>
            </w:r>
          </w:p>
        </w:tc>
        <w:tc>
          <w:tcPr>
            <w:tcW w:w="960" w:type="dxa"/>
            <w:tcBorders>
              <w:top w:val="nil"/>
              <w:left w:val="nil"/>
              <w:bottom w:val="double" w:sz="6" w:space="0" w:color="auto"/>
              <w:right w:val="nil"/>
            </w:tcBorders>
            <w:shd w:val="clear" w:color="auto" w:fill="auto"/>
            <w:noWrap/>
            <w:vAlign w:val="bottom"/>
            <w:hideMark/>
          </w:tcPr>
          <w:p w14:paraId="5194A547" w14:textId="77777777" w:rsidR="007F294A" w:rsidRPr="00CD0BCA" w:rsidRDefault="007F294A" w:rsidP="00AA3C4F">
            <w:pPr>
              <w:spacing w:after="0" w:line="240" w:lineRule="auto"/>
              <w:jc w:val="left"/>
              <w:rPr>
                <w:rFonts w:ascii="Calibri" w:eastAsia="Times New Roman" w:hAnsi="Calibri" w:cs="Times New Roman"/>
                <w:color w:val="000000"/>
                <w:sz w:val="22"/>
                <w:szCs w:val="22"/>
              </w:rPr>
            </w:pPr>
            <w:r w:rsidRPr="00CD0BCA">
              <w:rPr>
                <w:rFonts w:ascii="Calibri" w:eastAsia="Times New Roman" w:hAnsi="Calibri" w:cs="Times New Roman"/>
                <w:color w:val="000000"/>
                <w:sz w:val="22"/>
                <w:szCs w:val="22"/>
              </w:rPr>
              <w:t> </w:t>
            </w:r>
          </w:p>
        </w:tc>
      </w:tr>
    </w:tbl>
    <w:p w14:paraId="582652FA" w14:textId="77777777" w:rsidR="007F294A" w:rsidRDefault="007F294A" w:rsidP="007F294A"/>
    <w:tbl>
      <w:tblPr>
        <w:tblW w:w="6340" w:type="dxa"/>
        <w:jc w:val="center"/>
        <w:tblLook w:val="04A0" w:firstRow="1" w:lastRow="0" w:firstColumn="1" w:lastColumn="0" w:noHBand="0" w:noVBand="1"/>
      </w:tblPr>
      <w:tblGrid>
        <w:gridCol w:w="5040"/>
        <w:gridCol w:w="340"/>
        <w:gridCol w:w="960"/>
      </w:tblGrid>
      <w:tr w:rsidR="007F294A" w:rsidRPr="0056342A" w14:paraId="6C24040D" w14:textId="77777777" w:rsidTr="00AA3C4F">
        <w:trPr>
          <w:trHeight w:val="315"/>
          <w:jc w:val="center"/>
        </w:trPr>
        <w:tc>
          <w:tcPr>
            <w:tcW w:w="5040" w:type="dxa"/>
            <w:tcBorders>
              <w:top w:val="nil"/>
              <w:left w:val="nil"/>
              <w:bottom w:val="double" w:sz="6" w:space="0" w:color="auto"/>
              <w:right w:val="nil"/>
            </w:tcBorders>
            <w:shd w:val="clear" w:color="auto" w:fill="auto"/>
            <w:noWrap/>
            <w:vAlign w:val="bottom"/>
            <w:hideMark/>
          </w:tcPr>
          <w:p w14:paraId="514A1EC8" w14:textId="77777777" w:rsidR="007F294A" w:rsidRPr="0056342A" w:rsidRDefault="007F294A" w:rsidP="005653ED">
            <w:pPr>
              <w:spacing w:after="0" w:line="240" w:lineRule="auto"/>
              <w:jc w:val="left"/>
              <w:rPr>
                <w:rFonts w:ascii="Calibri" w:eastAsia="Times New Roman" w:hAnsi="Calibri" w:cs="Times New Roman"/>
                <w:color w:val="000000"/>
                <w:sz w:val="22"/>
                <w:szCs w:val="22"/>
              </w:rPr>
            </w:pPr>
            <w:r w:rsidRPr="0056342A">
              <w:rPr>
                <w:rFonts w:ascii="Calibri" w:eastAsia="Times New Roman" w:hAnsi="Calibri" w:cs="Times New Roman"/>
                <w:color w:val="000000"/>
                <w:sz w:val="22"/>
                <w:szCs w:val="22"/>
              </w:rPr>
              <w:t> </w:t>
            </w:r>
            <w:r>
              <w:rPr>
                <w:rFonts w:ascii="Calibri" w:eastAsia="Times New Roman" w:hAnsi="Calibri" w:cs="Times New Roman"/>
                <w:color w:val="000000"/>
                <w:sz w:val="22"/>
                <w:szCs w:val="22"/>
              </w:rPr>
              <w:t xml:space="preserve">Table </w:t>
            </w:r>
            <w:r w:rsidR="005653ED">
              <w:rPr>
                <w:rFonts w:ascii="Calibri" w:eastAsia="Times New Roman" w:hAnsi="Calibri" w:cs="Times New Roman"/>
                <w:color w:val="000000"/>
                <w:sz w:val="22"/>
                <w:szCs w:val="22"/>
              </w:rPr>
              <w:t>2</w:t>
            </w:r>
            <w:r>
              <w:rPr>
                <w:rFonts w:ascii="Calibri" w:eastAsia="Times New Roman" w:hAnsi="Calibri" w:cs="Times New Roman"/>
                <w:color w:val="000000"/>
                <w:sz w:val="22"/>
                <w:szCs w:val="22"/>
              </w:rPr>
              <w:t>: Distribution of Reversion Assignments</w:t>
            </w:r>
          </w:p>
        </w:tc>
        <w:tc>
          <w:tcPr>
            <w:tcW w:w="340" w:type="dxa"/>
            <w:tcBorders>
              <w:top w:val="nil"/>
              <w:left w:val="nil"/>
              <w:bottom w:val="double" w:sz="6" w:space="0" w:color="auto"/>
              <w:right w:val="nil"/>
            </w:tcBorders>
            <w:shd w:val="clear" w:color="auto" w:fill="auto"/>
            <w:noWrap/>
            <w:vAlign w:val="bottom"/>
            <w:hideMark/>
          </w:tcPr>
          <w:p w14:paraId="238BAFF5" w14:textId="77777777" w:rsidR="007F294A" w:rsidRPr="0056342A" w:rsidRDefault="007F294A" w:rsidP="00AA3C4F">
            <w:pPr>
              <w:spacing w:after="0" w:line="240" w:lineRule="auto"/>
              <w:jc w:val="left"/>
              <w:rPr>
                <w:rFonts w:ascii="Calibri" w:eastAsia="Times New Roman" w:hAnsi="Calibri" w:cs="Times New Roman"/>
                <w:color w:val="000000"/>
                <w:sz w:val="22"/>
                <w:szCs w:val="22"/>
              </w:rPr>
            </w:pPr>
            <w:r w:rsidRPr="0056342A">
              <w:rPr>
                <w:rFonts w:ascii="Calibri" w:eastAsia="Times New Roman" w:hAnsi="Calibri" w:cs="Times New Roman"/>
                <w:color w:val="000000"/>
                <w:sz w:val="22"/>
                <w:szCs w:val="22"/>
              </w:rPr>
              <w:t> </w:t>
            </w:r>
          </w:p>
        </w:tc>
        <w:tc>
          <w:tcPr>
            <w:tcW w:w="960" w:type="dxa"/>
            <w:tcBorders>
              <w:top w:val="nil"/>
              <w:left w:val="nil"/>
              <w:bottom w:val="double" w:sz="6" w:space="0" w:color="auto"/>
              <w:right w:val="nil"/>
            </w:tcBorders>
            <w:shd w:val="clear" w:color="auto" w:fill="auto"/>
            <w:noWrap/>
            <w:vAlign w:val="bottom"/>
            <w:hideMark/>
          </w:tcPr>
          <w:p w14:paraId="40EA008D" w14:textId="77777777" w:rsidR="007F294A" w:rsidRPr="0056342A" w:rsidRDefault="007F294A" w:rsidP="00AA3C4F">
            <w:pPr>
              <w:spacing w:after="0" w:line="240" w:lineRule="auto"/>
              <w:jc w:val="left"/>
              <w:rPr>
                <w:rFonts w:ascii="Calibri" w:eastAsia="Times New Roman" w:hAnsi="Calibri" w:cs="Times New Roman"/>
                <w:color w:val="000000"/>
                <w:sz w:val="22"/>
                <w:szCs w:val="22"/>
              </w:rPr>
            </w:pPr>
            <w:r w:rsidRPr="0056342A">
              <w:rPr>
                <w:rFonts w:ascii="Calibri" w:eastAsia="Times New Roman" w:hAnsi="Calibri" w:cs="Times New Roman"/>
                <w:color w:val="000000"/>
                <w:sz w:val="22"/>
                <w:szCs w:val="22"/>
              </w:rPr>
              <w:t> </w:t>
            </w:r>
          </w:p>
        </w:tc>
      </w:tr>
      <w:tr w:rsidR="007F294A" w:rsidRPr="0056342A" w14:paraId="45A97ED2" w14:textId="77777777" w:rsidTr="00AA3C4F">
        <w:trPr>
          <w:trHeight w:val="315"/>
          <w:jc w:val="center"/>
        </w:trPr>
        <w:tc>
          <w:tcPr>
            <w:tcW w:w="5040" w:type="dxa"/>
            <w:tcBorders>
              <w:top w:val="nil"/>
              <w:left w:val="nil"/>
              <w:bottom w:val="nil"/>
              <w:right w:val="nil"/>
            </w:tcBorders>
            <w:shd w:val="clear" w:color="auto" w:fill="auto"/>
            <w:noWrap/>
            <w:vAlign w:val="bottom"/>
            <w:hideMark/>
          </w:tcPr>
          <w:p w14:paraId="3CBC56F7" w14:textId="77777777" w:rsidR="007F294A" w:rsidRPr="0056342A" w:rsidRDefault="007F294A" w:rsidP="00AA3C4F">
            <w:pPr>
              <w:spacing w:after="0" w:line="240" w:lineRule="auto"/>
              <w:jc w:val="left"/>
              <w:rPr>
                <w:rFonts w:ascii="Calibri" w:eastAsia="Times New Roman" w:hAnsi="Calibri" w:cs="Times New Roman"/>
                <w:color w:val="000000"/>
                <w:sz w:val="22"/>
                <w:szCs w:val="22"/>
              </w:rPr>
            </w:pPr>
          </w:p>
        </w:tc>
        <w:tc>
          <w:tcPr>
            <w:tcW w:w="340" w:type="dxa"/>
            <w:tcBorders>
              <w:top w:val="nil"/>
              <w:left w:val="nil"/>
              <w:bottom w:val="nil"/>
              <w:right w:val="nil"/>
            </w:tcBorders>
            <w:shd w:val="clear" w:color="auto" w:fill="auto"/>
            <w:noWrap/>
            <w:vAlign w:val="bottom"/>
            <w:hideMark/>
          </w:tcPr>
          <w:p w14:paraId="20611F78" w14:textId="77777777" w:rsidR="007F294A" w:rsidRPr="0056342A" w:rsidRDefault="007F294A" w:rsidP="00AA3C4F">
            <w:pPr>
              <w:spacing w:after="0" w:line="240" w:lineRule="auto"/>
              <w:jc w:val="left"/>
              <w:rPr>
                <w:rFonts w:ascii="Calibri" w:eastAsia="Times New Roman" w:hAnsi="Calibri" w:cs="Times New Roman"/>
                <w:color w:val="000000"/>
                <w:sz w:val="22"/>
                <w:szCs w:val="22"/>
              </w:rPr>
            </w:pPr>
          </w:p>
        </w:tc>
        <w:tc>
          <w:tcPr>
            <w:tcW w:w="960" w:type="dxa"/>
            <w:tcBorders>
              <w:top w:val="nil"/>
              <w:left w:val="nil"/>
              <w:bottom w:val="nil"/>
              <w:right w:val="nil"/>
            </w:tcBorders>
            <w:shd w:val="clear" w:color="auto" w:fill="auto"/>
            <w:noWrap/>
            <w:vAlign w:val="bottom"/>
            <w:hideMark/>
          </w:tcPr>
          <w:p w14:paraId="4900FAFC" w14:textId="77777777" w:rsidR="007F294A" w:rsidRPr="0056342A" w:rsidRDefault="007F294A" w:rsidP="00AA3C4F">
            <w:pPr>
              <w:spacing w:after="0" w:line="240" w:lineRule="auto"/>
              <w:jc w:val="left"/>
              <w:rPr>
                <w:rFonts w:ascii="Calibri" w:eastAsia="Times New Roman" w:hAnsi="Calibri" w:cs="Times New Roman"/>
                <w:color w:val="000000"/>
                <w:sz w:val="22"/>
                <w:szCs w:val="22"/>
              </w:rPr>
            </w:pPr>
          </w:p>
        </w:tc>
      </w:tr>
      <w:tr w:rsidR="007F294A" w:rsidRPr="0056342A" w14:paraId="66C66188" w14:textId="77777777" w:rsidTr="00AA3C4F">
        <w:trPr>
          <w:trHeight w:val="300"/>
          <w:jc w:val="center"/>
        </w:trPr>
        <w:tc>
          <w:tcPr>
            <w:tcW w:w="5040" w:type="dxa"/>
            <w:tcBorders>
              <w:top w:val="single" w:sz="4" w:space="0" w:color="auto"/>
              <w:left w:val="nil"/>
              <w:bottom w:val="single" w:sz="4" w:space="0" w:color="auto"/>
              <w:right w:val="nil"/>
            </w:tcBorders>
            <w:shd w:val="clear" w:color="auto" w:fill="auto"/>
            <w:vAlign w:val="center"/>
            <w:hideMark/>
          </w:tcPr>
          <w:p w14:paraId="12732000" w14:textId="77777777" w:rsidR="007F294A" w:rsidRPr="0056342A" w:rsidRDefault="007F294A" w:rsidP="00AA3C4F">
            <w:pPr>
              <w:spacing w:after="0" w:line="240" w:lineRule="auto"/>
              <w:rPr>
                <w:rFonts w:ascii="Calibri" w:eastAsia="Times New Roman" w:hAnsi="Calibri" w:cs="Times New Roman"/>
                <w:color w:val="000000"/>
              </w:rPr>
            </w:pPr>
            <w:r w:rsidRPr="0056342A">
              <w:rPr>
                <w:rFonts w:ascii="Calibri" w:eastAsia="Times New Roman" w:hAnsi="Calibri" w:cs="Times New Roman"/>
                <w:color w:val="000000"/>
              </w:rPr>
              <w:t>Method by which transfer was identified as a reversion</w:t>
            </w:r>
          </w:p>
        </w:tc>
        <w:tc>
          <w:tcPr>
            <w:tcW w:w="340" w:type="dxa"/>
            <w:tcBorders>
              <w:top w:val="single" w:sz="4" w:space="0" w:color="auto"/>
              <w:left w:val="nil"/>
              <w:bottom w:val="single" w:sz="4" w:space="0" w:color="auto"/>
              <w:right w:val="nil"/>
            </w:tcBorders>
            <w:shd w:val="clear" w:color="auto" w:fill="auto"/>
            <w:vAlign w:val="center"/>
            <w:hideMark/>
          </w:tcPr>
          <w:p w14:paraId="659F4E14" w14:textId="77777777" w:rsidR="007F294A" w:rsidRPr="0056342A" w:rsidRDefault="007F294A" w:rsidP="00AA3C4F">
            <w:pPr>
              <w:spacing w:after="0" w:line="240" w:lineRule="auto"/>
              <w:rPr>
                <w:rFonts w:ascii="Calibri" w:eastAsia="Times New Roman" w:hAnsi="Calibri" w:cs="Times New Roman"/>
                <w:color w:val="000000"/>
              </w:rPr>
            </w:pPr>
            <w:r w:rsidRPr="0056342A">
              <w:rPr>
                <w:rFonts w:ascii="Calibri" w:eastAsia="Times New Roman" w:hAnsi="Calibri" w:cs="Times New Roman"/>
                <w:color w:val="000000"/>
              </w:rPr>
              <w:t> </w:t>
            </w:r>
          </w:p>
        </w:tc>
        <w:tc>
          <w:tcPr>
            <w:tcW w:w="960" w:type="dxa"/>
            <w:tcBorders>
              <w:top w:val="single" w:sz="4" w:space="0" w:color="auto"/>
              <w:left w:val="nil"/>
              <w:bottom w:val="single" w:sz="4" w:space="0" w:color="auto"/>
              <w:right w:val="nil"/>
            </w:tcBorders>
            <w:shd w:val="clear" w:color="auto" w:fill="auto"/>
            <w:vAlign w:val="center"/>
            <w:hideMark/>
          </w:tcPr>
          <w:p w14:paraId="2B834A4E" w14:textId="77777777" w:rsidR="007F294A" w:rsidRPr="0056342A" w:rsidRDefault="007F294A" w:rsidP="00AA3C4F">
            <w:pPr>
              <w:spacing w:after="0" w:line="240" w:lineRule="auto"/>
              <w:jc w:val="center"/>
              <w:rPr>
                <w:rFonts w:ascii="Calibri" w:eastAsia="Times New Roman" w:hAnsi="Calibri" w:cs="Times New Roman"/>
                <w:color w:val="000000"/>
              </w:rPr>
            </w:pPr>
            <w:r w:rsidRPr="0056342A">
              <w:rPr>
                <w:rFonts w:ascii="Calibri" w:eastAsia="Times New Roman" w:hAnsi="Calibri" w:cs="Times New Roman"/>
                <w:color w:val="000000"/>
              </w:rPr>
              <w:t>Count</w:t>
            </w:r>
          </w:p>
        </w:tc>
      </w:tr>
      <w:tr w:rsidR="007F294A" w:rsidRPr="0056342A" w14:paraId="04C14431" w14:textId="77777777" w:rsidTr="00AA3C4F">
        <w:trPr>
          <w:trHeight w:val="300"/>
          <w:jc w:val="center"/>
        </w:trPr>
        <w:tc>
          <w:tcPr>
            <w:tcW w:w="5040" w:type="dxa"/>
            <w:tcBorders>
              <w:top w:val="nil"/>
              <w:left w:val="nil"/>
              <w:bottom w:val="nil"/>
              <w:right w:val="nil"/>
            </w:tcBorders>
            <w:shd w:val="clear" w:color="auto" w:fill="auto"/>
            <w:vAlign w:val="center"/>
            <w:hideMark/>
          </w:tcPr>
          <w:p w14:paraId="63989E62" w14:textId="77777777" w:rsidR="007F294A" w:rsidRPr="0056342A" w:rsidRDefault="007F294A" w:rsidP="00AA3C4F">
            <w:pPr>
              <w:spacing w:after="0" w:line="240" w:lineRule="auto"/>
              <w:rPr>
                <w:rFonts w:ascii="Calibri" w:eastAsia="Times New Roman" w:hAnsi="Calibri" w:cs="Times New Roman"/>
                <w:color w:val="000000"/>
              </w:rPr>
            </w:pPr>
            <w:r w:rsidRPr="0056342A">
              <w:rPr>
                <w:rFonts w:ascii="Calibri" w:eastAsia="Times New Roman" w:hAnsi="Calibri" w:cs="Times New Roman"/>
                <w:color w:val="000000"/>
              </w:rPr>
              <w:t>Manual: Based on land match</w:t>
            </w:r>
          </w:p>
        </w:tc>
        <w:tc>
          <w:tcPr>
            <w:tcW w:w="340" w:type="dxa"/>
            <w:tcBorders>
              <w:top w:val="nil"/>
              <w:left w:val="nil"/>
              <w:bottom w:val="nil"/>
              <w:right w:val="nil"/>
            </w:tcBorders>
            <w:shd w:val="clear" w:color="auto" w:fill="auto"/>
            <w:vAlign w:val="center"/>
            <w:hideMark/>
          </w:tcPr>
          <w:p w14:paraId="7100F8BB" w14:textId="77777777" w:rsidR="007F294A" w:rsidRPr="0056342A" w:rsidRDefault="007F294A" w:rsidP="00AA3C4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center"/>
            <w:hideMark/>
          </w:tcPr>
          <w:p w14:paraId="4D5303B0" w14:textId="77777777" w:rsidR="007F294A" w:rsidRPr="0056342A" w:rsidRDefault="007F294A" w:rsidP="00AA3C4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r>
      <w:tr w:rsidR="007F294A" w:rsidRPr="0056342A" w14:paraId="1479FC2D" w14:textId="77777777" w:rsidTr="00AA3C4F">
        <w:trPr>
          <w:trHeight w:val="300"/>
          <w:jc w:val="center"/>
        </w:trPr>
        <w:tc>
          <w:tcPr>
            <w:tcW w:w="5040" w:type="dxa"/>
            <w:tcBorders>
              <w:top w:val="nil"/>
              <w:left w:val="nil"/>
              <w:bottom w:val="nil"/>
              <w:right w:val="nil"/>
            </w:tcBorders>
            <w:shd w:val="clear" w:color="auto" w:fill="auto"/>
            <w:vAlign w:val="center"/>
            <w:hideMark/>
          </w:tcPr>
          <w:p w14:paraId="0561C9B2" w14:textId="77777777" w:rsidR="007F294A" w:rsidRPr="0056342A" w:rsidRDefault="007F294A" w:rsidP="00AA3C4F">
            <w:pPr>
              <w:spacing w:after="0" w:line="240" w:lineRule="auto"/>
              <w:rPr>
                <w:rFonts w:ascii="Calibri" w:eastAsia="Times New Roman" w:hAnsi="Calibri" w:cs="Times New Roman"/>
                <w:color w:val="000000"/>
              </w:rPr>
            </w:pPr>
            <w:r w:rsidRPr="0056342A">
              <w:rPr>
                <w:rFonts w:ascii="Calibri" w:eastAsia="Times New Roman" w:hAnsi="Calibri" w:cs="Times New Roman"/>
                <w:color w:val="000000"/>
              </w:rPr>
              <w:t>Manual: Based on logical checks</w:t>
            </w:r>
          </w:p>
        </w:tc>
        <w:tc>
          <w:tcPr>
            <w:tcW w:w="340" w:type="dxa"/>
            <w:tcBorders>
              <w:top w:val="nil"/>
              <w:left w:val="nil"/>
              <w:bottom w:val="nil"/>
              <w:right w:val="nil"/>
            </w:tcBorders>
            <w:shd w:val="clear" w:color="auto" w:fill="auto"/>
            <w:vAlign w:val="center"/>
            <w:hideMark/>
          </w:tcPr>
          <w:p w14:paraId="1383667E" w14:textId="77777777" w:rsidR="007F294A" w:rsidRPr="0056342A" w:rsidRDefault="007F294A" w:rsidP="00AA3C4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center"/>
            <w:hideMark/>
          </w:tcPr>
          <w:p w14:paraId="32FFA56C" w14:textId="77777777" w:rsidR="007F294A" w:rsidRPr="0056342A" w:rsidRDefault="007F294A" w:rsidP="00AA3C4F">
            <w:pPr>
              <w:spacing w:after="0" w:line="240" w:lineRule="auto"/>
              <w:jc w:val="center"/>
              <w:rPr>
                <w:rFonts w:ascii="Calibri" w:eastAsia="Times New Roman" w:hAnsi="Calibri" w:cs="Times New Roman"/>
                <w:color w:val="000000"/>
              </w:rPr>
            </w:pPr>
            <w:r w:rsidRPr="0056342A">
              <w:rPr>
                <w:rFonts w:ascii="Calibri" w:eastAsia="Times New Roman" w:hAnsi="Calibri" w:cs="Times New Roman"/>
                <w:color w:val="000000"/>
              </w:rPr>
              <w:t>9</w:t>
            </w:r>
          </w:p>
        </w:tc>
      </w:tr>
      <w:tr w:rsidR="007F294A" w:rsidRPr="0056342A" w14:paraId="38FEAB8B" w14:textId="77777777" w:rsidTr="00AA3C4F">
        <w:trPr>
          <w:trHeight w:val="300"/>
          <w:jc w:val="center"/>
        </w:trPr>
        <w:tc>
          <w:tcPr>
            <w:tcW w:w="5040" w:type="dxa"/>
            <w:tcBorders>
              <w:top w:val="nil"/>
              <w:left w:val="nil"/>
              <w:bottom w:val="nil"/>
              <w:right w:val="nil"/>
            </w:tcBorders>
            <w:shd w:val="clear" w:color="auto" w:fill="auto"/>
            <w:vAlign w:val="center"/>
            <w:hideMark/>
          </w:tcPr>
          <w:p w14:paraId="26CBF8F4" w14:textId="77777777" w:rsidR="007F294A" w:rsidRPr="0056342A" w:rsidRDefault="007F294A" w:rsidP="00AA3C4F">
            <w:pPr>
              <w:spacing w:after="0" w:line="240" w:lineRule="auto"/>
              <w:rPr>
                <w:rFonts w:ascii="Calibri" w:eastAsia="Times New Roman" w:hAnsi="Calibri" w:cs="Times New Roman"/>
                <w:color w:val="000000"/>
              </w:rPr>
            </w:pPr>
            <w:r w:rsidRPr="0056342A">
              <w:rPr>
                <w:rFonts w:ascii="Calibri" w:eastAsia="Times New Roman" w:hAnsi="Calibri" w:cs="Times New Roman"/>
                <w:color w:val="000000"/>
              </w:rPr>
              <w:t>Automatic: Land and names match</w:t>
            </w:r>
          </w:p>
        </w:tc>
        <w:tc>
          <w:tcPr>
            <w:tcW w:w="340" w:type="dxa"/>
            <w:tcBorders>
              <w:top w:val="nil"/>
              <w:left w:val="nil"/>
              <w:bottom w:val="nil"/>
              <w:right w:val="nil"/>
            </w:tcBorders>
            <w:shd w:val="clear" w:color="auto" w:fill="auto"/>
            <w:vAlign w:val="center"/>
            <w:hideMark/>
          </w:tcPr>
          <w:p w14:paraId="7A1A81BA" w14:textId="77777777" w:rsidR="007F294A" w:rsidRPr="0056342A" w:rsidRDefault="007F294A" w:rsidP="00AA3C4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center"/>
            <w:hideMark/>
          </w:tcPr>
          <w:p w14:paraId="65EFBBA6" w14:textId="77777777" w:rsidR="007F294A" w:rsidRPr="0056342A" w:rsidRDefault="007F294A" w:rsidP="00AA3C4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21</w:t>
            </w:r>
          </w:p>
        </w:tc>
      </w:tr>
      <w:tr w:rsidR="007F294A" w:rsidRPr="0056342A" w14:paraId="218534B7" w14:textId="77777777" w:rsidTr="00AA3C4F">
        <w:trPr>
          <w:trHeight w:val="300"/>
          <w:jc w:val="center"/>
        </w:trPr>
        <w:tc>
          <w:tcPr>
            <w:tcW w:w="5040" w:type="dxa"/>
            <w:tcBorders>
              <w:top w:val="nil"/>
              <w:left w:val="nil"/>
              <w:bottom w:val="nil"/>
              <w:right w:val="nil"/>
            </w:tcBorders>
            <w:shd w:val="clear" w:color="auto" w:fill="auto"/>
            <w:vAlign w:val="center"/>
            <w:hideMark/>
          </w:tcPr>
          <w:p w14:paraId="1D07BDFA" w14:textId="77777777" w:rsidR="007F294A" w:rsidRPr="0056342A" w:rsidRDefault="007F294A" w:rsidP="00AA3C4F">
            <w:pPr>
              <w:spacing w:after="0" w:line="240" w:lineRule="auto"/>
              <w:rPr>
                <w:rFonts w:ascii="Calibri" w:eastAsia="Times New Roman" w:hAnsi="Calibri" w:cs="Times New Roman"/>
                <w:color w:val="000000"/>
              </w:rPr>
            </w:pPr>
            <w:r w:rsidRPr="0056342A">
              <w:rPr>
                <w:rFonts w:ascii="Calibri" w:eastAsia="Times New Roman" w:hAnsi="Calibri" w:cs="Times New Roman"/>
                <w:color w:val="000000"/>
              </w:rPr>
              <w:t>Not assigned: no reversion</w:t>
            </w:r>
          </w:p>
        </w:tc>
        <w:tc>
          <w:tcPr>
            <w:tcW w:w="340" w:type="dxa"/>
            <w:tcBorders>
              <w:top w:val="nil"/>
              <w:left w:val="nil"/>
              <w:bottom w:val="nil"/>
              <w:right w:val="nil"/>
            </w:tcBorders>
            <w:shd w:val="clear" w:color="auto" w:fill="auto"/>
            <w:vAlign w:val="center"/>
            <w:hideMark/>
          </w:tcPr>
          <w:p w14:paraId="4D0FE86D" w14:textId="77777777" w:rsidR="007F294A" w:rsidRPr="0056342A" w:rsidRDefault="007F294A" w:rsidP="00AA3C4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center"/>
            <w:hideMark/>
          </w:tcPr>
          <w:p w14:paraId="765477CF" w14:textId="77777777" w:rsidR="007F294A" w:rsidRPr="0056342A" w:rsidRDefault="007F294A" w:rsidP="00AA3C4F">
            <w:pPr>
              <w:spacing w:after="0" w:line="240" w:lineRule="auto"/>
              <w:jc w:val="center"/>
              <w:rPr>
                <w:rFonts w:ascii="Calibri" w:eastAsia="Times New Roman" w:hAnsi="Calibri" w:cs="Times New Roman"/>
                <w:color w:val="000000"/>
              </w:rPr>
            </w:pPr>
            <w:r w:rsidRPr="0056342A">
              <w:rPr>
                <w:rFonts w:ascii="Calibri" w:eastAsia="Times New Roman" w:hAnsi="Calibri" w:cs="Times New Roman"/>
                <w:color w:val="000000"/>
              </w:rPr>
              <w:t>221</w:t>
            </w:r>
          </w:p>
        </w:tc>
      </w:tr>
      <w:tr w:rsidR="007F294A" w:rsidRPr="0056342A" w14:paraId="7CB0666C" w14:textId="77777777" w:rsidTr="00AA3C4F">
        <w:trPr>
          <w:trHeight w:val="300"/>
          <w:jc w:val="center"/>
        </w:trPr>
        <w:tc>
          <w:tcPr>
            <w:tcW w:w="5040" w:type="dxa"/>
            <w:tcBorders>
              <w:top w:val="nil"/>
              <w:left w:val="nil"/>
              <w:bottom w:val="nil"/>
              <w:right w:val="nil"/>
            </w:tcBorders>
            <w:shd w:val="clear" w:color="auto" w:fill="auto"/>
            <w:vAlign w:val="center"/>
            <w:hideMark/>
          </w:tcPr>
          <w:p w14:paraId="0E441558" w14:textId="77777777" w:rsidR="007F294A" w:rsidRPr="0056342A" w:rsidRDefault="007F294A" w:rsidP="00AA3C4F">
            <w:pPr>
              <w:spacing w:after="0" w:line="240" w:lineRule="auto"/>
              <w:rPr>
                <w:rFonts w:ascii="Calibri" w:eastAsia="Times New Roman" w:hAnsi="Calibri" w:cs="Times New Roman"/>
                <w:color w:val="000000"/>
              </w:rPr>
            </w:pPr>
          </w:p>
        </w:tc>
        <w:tc>
          <w:tcPr>
            <w:tcW w:w="340" w:type="dxa"/>
            <w:tcBorders>
              <w:top w:val="nil"/>
              <w:left w:val="nil"/>
              <w:bottom w:val="nil"/>
              <w:right w:val="nil"/>
            </w:tcBorders>
            <w:shd w:val="clear" w:color="auto" w:fill="auto"/>
            <w:vAlign w:val="center"/>
            <w:hideMark/>
          </w:tcPr>
          <w:p w14:paraId="64F381AC" w14:textId="77777777" w:rsidR="007F294A" w:rsidRPr="0056342A" w:rsidRDefault="007F294A" w:rsidP="00AA3C4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center"/>
            <w:hideMark/>
          </w:tcPr>
          <w:p w14:paraId="6CC27FDE" w14:textId="77777777" w:rsidR="007F294A" w:rsidRPr="0056342A" w:rsidRDefault="007F294A" w:rsidP="00AA3C4F">
            <w:pPr>
              <w:spacing w:after="0" w:line="240" w:lineRule="auto"/>
              <w:jc w:val="center"/>
              <w:rPr>
                <w:rFonts w:ascii="Calibri" w:eastAsia="Times New Roman" w:hAnsi="Calibri" w:cs="Times New Roman"/>
                <w:color w:val="000000"/>
              </w:rPr>
            </w:pPr>
          </w:p>
        </w:tc>
      </w:tr>
      <w:tr w:rsidR="007F294A" w:rsidRPr="0056342A" w14:paraId="2EB83B8E" w14:textId="77777777" w:rsidTr="00AA3C4F">
        <w:trPr>
          <w:trHeight w:val="300"/>
          <w:jc w:val="center"/>
        </w:trPr>
        <w:tc>
          <w:tcPr>
            <w:tcW w:w="5040" w:type="dxa"/>
            <w:tcBorders>
              <w:top w:val="nil"/>
              <w:left w:val="nil"/>
              <w:bottom w:val="nil"/>
              <w:right w:val="nil"/>
            </w:tcBorders>
            <w:shd w:val="clear" w:color="auto" w:fill="auto"/>
            <w:vAlign w:val="center"/>
            <w:hideMark/>
          </w:tcPr>
          <w:p w14:paraId="16564A54" w14:textId="77777777" w:rsidR="007F294A" w:rsidRPr="0056342A" w:rsidRDefault="007F294A" w:rsidP="00AA3C4F">
            <w:pPr>
              <w:spacing w:after="0" w:line="240" w:lineRule="auto"/>
              <w:rPr>
                <w:rFonts w:ascii="Calibri" w:eastAsia="Times New Roman" w:hAnsi="Calibri" w:cs="Times New Roman"/>
                <w:color w:val="000000"/>
              </w:rPr>
            </w:pPr>
            <w:r w:rsidRPr="0056342A">
              <w:rPr>
                <w:rFonts w:ascii="Calibri" w:eastAsia="Times New Roman" w:hAnsi="Calibri" w:cs="Times New Roman"/>
                <w:color w:val="000000"/>
              </w:rPr>
              <w:t>Total</w:t>
            </w:r>
          </w:p>
        </w:tc>
        <w:tc>
          <w:tcPr>
            <w:tcW w:w="340" w:type="dxa"/>
            <w:tcBorders>
              <w:top w:val="nil"/>
              <w:left w:val="nil"/>
              <w:bottom w:val="nil"/>
              <w:right w:val="nil"/>
            </w:tcBorders>
            <w:shd w:val="clear" w:color="auto" w:fill="auto"/>
            <w:vAlign w:val="center"/>
            <w:hideMark/>
          </w:tcPr>
          <w:p w14:paraId="076E2D32" w14:textId="77777777" w:rsidR="007F294A" w:rsidRPr="0056342A" w:rsidRDefault="007F294A" w:rsidP="00AA3C4F">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vAlign w:val="center"/>
            <w:hideMark/>
          </w:tcPr>
          <w:p w14:paraId="28C87EE1" w14:textId="77777777" w:rsidR="007F294A" w:rsidRPr="0056342A" w:rsidRDefault="007F294A" w:rsidP="00AA3C4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254</w:t>
            </w:r>
          </w:p>
        </w:tc>
      </w:tr>
      <w:tr w:rsidR="007F294A" w:rsidRPr="0056342A" w14:paraId="5D989664" w14:textId="77777777" w:rsidTr="00AA3C4F">
        <w:trPr>
          <w:trHeight w:val="315"/>
          <w:jc w:val="center"/>
        </w:trPr>
        <w:tc>
          <w:tcPr>
            <w:tcW w:w="5040" w:type="dxa"/>
            <w:tcBorders>
              <w:top w:val="nil"/>
              <w:left w:val="nil"/>
              <w:bottom w:val="double" w:sz="6" w:space="0" w:color="auto"/>
              <w:right w:val="nil"/>
            </w:tcBorders>
            <w:shd w:val="clear" w:color="auto" w:fill="auto"/>
            <w:noWrap/>
            <w:vAlign w:val="bottom"/>
            <w:hideMark/>
          </w:tcPr>
          <w:p w14:paraId="6CD18ACE" w14:textId="77777777" w:rsidR="007F294A" w:rsidRPr="0056342A" w:rsidRDefault="007F294A" w:rsidP="00AA3C4F">
            <w:pPr>
              <w:spacing w:after="0" w:line="240" w:lineRule="auto"/>
              <w:jc w:val="left"/>
              <w:rPr>
                <w:rFonts w:ascii="Calibri" w:eastAsia="Times New Roman" w:hAnsi="Calibri" w:cs="Times New Roman"/>
                <w:color w:val="000000"/>
                <w:sz w:val="22"/>
                <w:szCs w:val="22"/>
              </w:rPr>
            </w:pPr>
            <w:r w:rsidRPr="0056342A">
              <w:rPr>
                <w:rFonts w:ascii="Calibri" w:eastAsia="Times New Roman" w:hAnsi="Calibri" w:cs="Times New Roman"/>
                <w:color w:val="000000"/>
                <w:sz w:val="22"/>
                <w:szCs w:val="22"/>
              </w:rPr>
              <w:t> </w:t>
            </w:r>
          </w:p>
        </w:tc>
        <w:tc>
          <w:tcPr>
            <w:tcW w:w="340" w:type="dxa"/>
            <w:tcBorders>
              <w:top w:val="nil"/>
              <w:left w:val="nil"/>
              <w:bottom w:val="double" w:sz="6" w:space="0" w:color="auto"/>
              <w:right w:val="nil"/>
            </w:tcBorders>
            <w:shd w:val="clear" w:color="auto" w:fill="auto"/>
            <w:noWrap/>
            <w:vAlign w:val="bottom"/>
            <w:hideMark/>
          </w:tcPr>
          <w:p w14:paraId="3DC6E0F8" w14:textId="77777777" w:rsidR="007F294A" w:rsidRPr="0056342A" w:rsidRDefault="007F294A" w:rsidP="00AA3C4F">
            <w:pPr>
              <w:spacing w:after="0" w:line="240" w:lineRule="auto"/>
              <w:jc w:val="left"/>
              <w:rPr>
                <w:rFonts w:ascii="Calibri" w:eastAsia="Times New Roman" w:hAnsi="Calibri" w:cs="Times New Roman"/>
                <w:color w:val="000000"/>
                <w:sz w:val="22"/>
                <w:szCs w:val="22"/>
              </w:rPr>
            </w:pPr>
            <w:r w:rsidRPr="0056342A">
              <w:rPr>
                <w:rFonts w:ascii="Calibri" w:eastAsia="Times New Roman" w:hAnsi="Calibri" w:cs="Times New Roman"/>
                <w:color w:val="000000"/>
                <w:sz w:val="22"/>
                <w:szCs w:val="22"/>
              </w:rPr>
              <w:t> </w:t>
            </w:r>
          </w:p>
        </w:tc>
        <w:tc>
          <w:tcPr>
            <w:tcW w:w="960" w:type="dxa"/>
            <w:tcBorders>
              <w:top w:val="nil"/>
              <w:left w:val="nil"/>
              <w:bottom w:val="double" w:sz="6" w:space="0" w:color="auto"/>
              <w:right w:val="nil"/>
            </w:tcBorders>
            <w:shd w:val="clear" w:color="auto" w:fill="auto"/>
            <w:noWrap/>
            <w:vAlign w:val="bottom"/>
            <w:hideMark/>
          </w:tcPr>
          <w:p w14:paraId="11B165BC" w14:textId="77777777" w:rsidR="007F294A" w:rsidRPr="0056342A" w:rsidRDefault="007F294A" w:rsidP="00AA3C4F">
            <w:pPr>
              <w:spacing w:after="0" w:line="240" w:lineRule="auto"/>
              <w:jc w:val="left"/>
              <w:rPr>
                <w:rFonts w:ascii="Calibri" w:eastAsia="Times New Roman" w:hAnsi="Calibri" w:cs="Times New Roman"/>
                <w:color w:val="000000"/>
                <w:sz w:val="22"/>
                <w:szCs w:val="22"/>
              </w:rPr>
            </w:pPr>
            <w:r w:rsidRPr="0056342A">
              <w:rPr>
                <w:rFonts w:ascii="Calibri" w:eastAsia="Times New Roman" w:hAnsi="Calibri" w:cs="Times New Roman"/>
                <w:color w:val="000000"/>
                <w:sz w:val="22"/>
                <w:szCs w:val="22"/>
              </w:rPr>
              <w:t> </w:t>
            </w:r>
          </w:p>
        </w:tc>
      </w:tr>
    </w:tbl>
    <w:p w14:paraId="41CE63E7" w14:textId="77777777" w:rsidR="007F294A" w:rsidRDefault="007F294A" w:rsidP="00663946"/>
    <w:p w14:paraId="25DB6C23" w14:textId="77777777" w:rsidR="00123BE8" w:rsidRDefault="00123BE8" w:rsidP="00123BE8">
      <w:pPr>
        <w:pStyle w:val="Heading1"/>
        <w:numPr>
          <w:ilvl w:val="0"/>
          <w:numId w:val="2"/>
        </w:numPr>
        <w:rPr>
          <w:b/>
        </w:rPr>
      </w:pPr>
      <w:r w:rsidRPr="00123BE8">
        <w:rPr>
          <w:b/>
        </w:rPr>
        <w:t>Categorizing Conquest in the TC Data</w:t>
      </w:r>
    </w:p>
    <w:p w14:paraId="6DD03EAC" w14:textId="77777777" w:rsidR="009570C9" w:rsidRDefault="009570C9" w:rsidP="009570C9">
      <w:r>
        <w:t xml:space="preserve">We consider transfers to be military conquest if the following criteria are met. </w:t>
      </w:r>
    </w:p>
    <w:p w14:paraId="69014305" w14:textId="77777777" w:rsidR="003C4ABE" w:rsidRDefault="003C4ABE" w:rsidP="003C4ABE">
      <w:pPr>
        <w:pStyle w:val="ListParagraph"/>
        <w:numPr>
          <w:ilvl w:val="0"/>
          <w:numId w:val="5"/>
        </w:numPr>
      </w:pPr>
      <w:r>
        <w:t>The transfer was not a reversion of a previously unrecognized transfer (Q2=0 &amp; Q4&gt;2 for the reverted prior transfer).</w:t>
      </w:r>
    </w:p>
    <w:p w14:paraId="7074FE71" w14:textId="77777777" w:rsidR="009570C9" w:rsidRDefault="009570C9" w:rsidP="009570C9">
      <w:pPr>
        <w:pStyle w:val="ListParagraph"/>
        <w:numPr>
          <w:ilvl w:val="0"/>
          <w:numId w:val="5"/>
        </w:numPr>
      </w:pPr>
      <w:r>
        <w:t xml:space="preserve">The </w:t>
      </w:r>
      <w:r w:rsidR="00AA1238" w:rsidRPr="00C339FB">
        <w:t xml:space="preserve">intervention </w:t>
      </w:r>
      <w:r w:rsidR="00AA1238">
        <w:t xml:space="preserve">not </w:t>
      </w:r>
      <w:r w:rsidR="00AA1238" w:rsidRPr="00C339FB">
        <w:t>carried out by, or with the approval of, a multinational organization (e.g., the United Nations, NATO, the League of Nations)</w:t>
      </w:r>
      <w:r w:rsidR="00AA1238">
        <w:t xml:space="preserve"> </w:t>
      </w:r>
      <w:r>
        <w:t>(Q3=0)</w:t>
      </w:r>
      <w:r w:rsidR="003C4ABE">
        <w:t>.</w:t>
      </w:r>
    </w:p>
    <w:p w14:paraId="535216E8" w14:textId="77777777" w:rsidR="009570C9" w:rsidRDefault="009570C9" w:rsidP="009570C9">
      <w:pPr>
        <w:pStyle w:val="ListParagraph"/>
        <w:numPr>
          <w:ilvl w:val="0"/>
          <w:numId w:val="5"/>
        </w:numPr>
      </w:pPr>
      <w:r>
        <w:t xml:space="preserve">The transfer </w:t>
      </w:r>
      <w:r w:rsidR="00AA1238">
        <w:t>was not a result of</w:t>
      </w:r>
      <w:r>
        <w:t xml:space="preserve"> independence</w:t>
      </w:r>
      <w:r w:rsidR="00AA1238">
        <w:t>.</w:t>
      </w:r>
      <w:r>
        <w:t xml:space="preserve"> (Q6=0)</w:t>
      </w:r>
      <w:r w:rsidR="003C4ABE">
        <w:t>.</w:t>
      </w:r>
    </w:p>
    <w:p w14:paraId="0F45A4D1" w14:textId="77777777" w:rsidR="009570C9" w:rsidRDefault="009570C9" w:rsidP="009570C9">
      <w:pPr>
        <w:pStyle w:val="ListParagraph"/>
        <w:numPr>
          <w:ilvl w:val="0"/>
          <w:numId w:val="5"/>
        </w:numPr>
      </w:pPr>
      <w:r>
        <w:t xml:space="preserve">The gaining country </w:t>
      </w:r>
      <w:r w:rsidR="00AA1238">
        <w:t>claims</w:t>
      </w:r>
      <w:r>
        <w:t xml:space="preserve"> sovereignty over the territory (Q7=1)</w:t>
      </w:r>
    </w:p>
    <w:p w14:paraId="7DD093EE" w14:textId="39878F35" w:rsidR="009570C9" w:rsidRDefault="009570C9" w:rsidP="009570C9">
      <w:r>
        <w:t xml:space="preserve">Additionally, </w:t>
      </w:r>
      <w:r w:rsidR="00B775CC">
        <w:t xml:space="preserve">we often distinguish transfers based on </w:t>
      </w:r>
      <w:r>
        <w:t>whether or not they were recognized by the international community (Q4</w:t>
      </w:r>
      <w:r w:rsidR="002B2779">
        <w:t>&gt;2</w:t>
      </w:r>
      <w:r>
        <w:t xml:space="preserve">), and whether or not they were later </w:t>
      </w:r>
      <w:r w:rsidR="002B2779">
        <w:t>reversed,</w:t>
      </w:r>
      <w:r w:rsidR="00B775CC">
        <w:t xml:space="preserve"> </w:t>
      </w:r>
      <w:r>
        <w:t xml:space="preserve">as described in section 3.  </w:t>
      </w:r>
    </w:p>
    <w:p w14:paraId="45C7FF88" w14:textId="42B229C6" w:rsidR="00694BB7" w:rsidRDefault="00694BB7" w:rsidP="009570C9">
      <w:r>
        <w:t>We did not distinguish between conquests of territory based on whether the sovereignty was in dispute at the time</w:t>
      </w:r>
      <w:r w:rsidR="00282AC4">
        <w:t xml:space="preserve"> (Q1)</w:t>
      </w:r>
      <w:r>
        <w:t>, though we provide the data</w:t>
      </w:r>
      <w:r w:rsidR="00282AC4">
        <w:t xml:space="preserve"> in case others wish to do so</w:t>
      </w:r>
      <w:r>
        <w:t xml:space="preserve">. It may </w:t>
      </w:r>
      <w:r w:rsidR="00282AC4">
        <w:t xml:space="preserve">initially </w:t>
      </w:r>
      <w:r>
        <w:t>seem appropriate to exclude transfers of territory where sovereignty is in dispute from “conquest</w:t>
      </w:r>
      <w:r w:rsidR="00282AC4">
        <w:t>.</w:t>
      </w:r>
      <w:r>
        <w:t>”  But doing so means excluding almost all colonial conquests</w:t>
      </w:r>
      <w:r w:rsidR="00282AC4">
        <w:t>, including the scramble for Africa</w:t>
      </w:r>
      <w:r>
        <w:t xml:space="preserve">.  </w:t>
      </w:r>
      <w:r w:rsidR="00282AC4" w:rsidRPr="00C339FB">
        <w:t>An actor like the Zulu Kingdom</w:t>
      </w:r>
      <w:r w:rsidR="00282AC4">
        <w:t>, for example,</w:t>
      </w:r>
      <w:r w:rsidR="00282AC4" w:rsidRPr="00C339FB">
        <w:t xml:space="preserve"> </w:t>
      </w:r>
      <w:r w:rsidR="00282AC4">
        <w:t>did not possess recognized</w:t>
      </w:r>
      <w:r w:rsidR="00282AC4" w:rsidRPr="00C339FB">
        <w:t xml:space="preserve"> sovereignty </w:t>
      </w:r>
      <w:r w:rsidR="00282AC4">
        <w:t>over its territory,</w:t>
      </w:r>
      <w:r w:rsidR="00282AC4" w:rsidRPr="00C339FB">
        <w:t xml:space="preserve"> since as a non-state entity it wasn’t recognized as a </w:t>
      </w:r>
      <w:r w:rsidR="00282AC4">
        <w:t>member of the state system</w:t>
      </w:r>
      <w:r w:rsidR="00282AC4" w:rsidRPr="00C339FB">
        <w:t xml:space="preserve">. Indeed, the colonial empires justified their conquests by suggesting that areas controlled by non-state actors were </w:t>
      </w:r>
      <w:r w:rsidR="00282AC4" w:rsidRPr="00282AC4">
        <w:rPr>
          <w:i/>
        </w:rPr>
        <w:t>res nullius</w:t>
      </w:r>
      <w:r w:rsidR="00282AC4" w:rsidRPr="00C339FB">
        <w:t xml:space="preserve"> and free for the taking</w:t>
      </w:r>
      <w:r w:rsidR="00282AC4">
        <w:t xml:space="preserve">.  </w:t>
      </w:r>
    </w:p>
    <w:p w14:paraId="24A2D7CE" w14:textId="77777777" w:rsidR="009570C9" w:rsidRDefault="009570C9" w:rsidP="009570C9">
      <w:pPr>
        <w:pStyle w:val="Heading1"/>
        <w:numPr>
          <w:ilvl w:val="0"/>
          <w:numId w:val="2"/>
        </w:numPr>
        <w:rPr>
          <w:b/>
        </w:rPr>
      </w:pPr>
      <w:r>
        <w:rPr>
          <w:b/>
        </w:rPr>
        <w:t>Mapping the Evolution of State Size</w:t>
      </w:r>
    </w:p>
    <w:p w14:paraId="163DB3AF" w14:textId="7597D4DC" w:rsidR="00E44F93" w:rsidRDefault="00E44F93" w:rsidP="00E44F93">
      <w:pPr>
        <w:pStyle w:val="ListParagraph"/>
        <w:ind w:left="0"/>
      </w:pPr>
      <w:r>
        <w:t xml:space="preserve">In addition to tracking </w:t>
      </w:r>
      <w:r w:rsidR="002B2779">
        <w:t>territorial</w:t>
      </w:r>
      <w:r>
        <w:t xml:space="preserve"> conquest, we also show the changing landscape of state size as independences undid the colonization and conquest and seizing territory via military conflict became unacceptable. In order to accomplish this, we use the territorial change data along with data from the World Bank, </w:t>
      </w:r>
      <w:r>
        <w:lastRenderedPageBreak/>
        <w:t xml:space="preserve">which reports the territorial size of states in 2014. We perform a match of the World Bank data to the Territorial Change data, and use the transfers to infer the size of all states in all years back to 1816.  </w:t>
      </w:r>
    </w:p>
    <w:p w14:paraId="5822FCBE" w14:textId="77777777" w:rsidR="00E651E5" w:rsidRDefault="00E651E5" w:rsidP="00E44F93">
      <w:pPr>
        <w:pStyle w:val="ListParagraph"/>
        <w:ind w:left="0"/>
      </w:pPr>
    </w:p>
    <w:p w14:paraId="5146D964" w14:textId="612C58F6" w:rsidR="00E651E5" w:rsidRDefault="00E651E5" w:rsidP="00E44F93">
      <w:pPr>
        <w:pStyle w:val="ListParagraph"/>
        <w:ind w:left="0"/>
      </w:pPr>
      <w:r>
        <w:t xml:space="preserve">Again, we perform logical checks to ensure that the results of the matching and backward territory calculation are sensible. For example, we </w:t>
      </w:r>
      <w:r w:rsidR="002B2779">
        <w:t>check to ensure</w:t>
      </w:r>
      <w:r>
        <w:t xml:space="preserve"> that no states have negative territory in any year. The results of these checks form the basis for some of the corrections to the TC data noted above. </w:t>
      </w:r>
    </w:p>
    <w:p w14:paraId="260EBF66" w14:textId="77777777" w:rsidR="00E44F93" w:rsidRPr="00123BE8" w:rsidRDefault="00E44F93" w:rsidP="00E44F93">
      <w:pPr>
        <w:pStyle w:val="Heading1"/>
        <w:numPr>
          <w:ilvl w:val="0"/>
          <w:numId w:val="2"/>
        </w:numPr>
        <w:rPr>
          <w:b/>
        </w:rPr>
      </w:pPr>
      <w:r>
        <w:rPr>
          <w:b/>
        </w:rPr>
        <w:t>Description of Software</w:t>
      </w:r>
    </w:p>
    <w:p w14:paraId="1ED17F61" w14:textId="77777777" w:rsidR="00997272" w:rsidRDefault="00997272" w:rsidP="001D1BE9">
      <w:r>
        <w:t>This section lists the code (Stata do-files) provided to replicate the results. All code is controlled by and can be run using KB_main.do. In order to replicate the data and figures from the draft:</w:t>
      </w:r>
    </w:p>
    <w:p w14:paraId="66105F1D" w14:textId="77777777" w:rsidR="00997272" w:rsidRDefault="00997272" w:rsidP="00997272">
      <w:pPr>
        <w:pStyle w:val="ListParagraph"/>
        <w:numPr>
          <w:ilvl w:val="0"/>
          <w:numId w:val="7"/>
        </w:numPr>
      </w:pPr>
      <w:r>
        <w:t>Download and unzip the provided files to a local directory</w:t>
      </w:r>
    </w:p>
    <w:p w14:paraId="1D1DC230" w14:textId="77777777" w:rsidR="00997272" w:rsidRDefault="00997272" w:rsidP="00997272">
      <w:pPr>
        <w:pStyle w:val="ListParagraph"/>
        <w:numPr>
          <w:ilvl w:val="0"/>
          <w:numId w:val="7"/>
        </w:numPr>
      </w:pPr>
      <w:r>
        <w:t>Change line 2</w:t>
      </w:r>
      <w:r w:rsidR="00AA1238">
        <w:t>8</w:t>
      </w:r>
      <w:r>
        <w:t xml:space="preserve"> of KB_main.do to match the local directory where the unzipped files are located</w:t>
      </w:r>
    </w:p>
    <w:p w14:paraId="19AF7F6F" w14:textId="77777777" w:rsidR="00997272" w:rsidRDefault="00997272" w:rsidP="00997272">
      <w:pPr>
        <w:pStyle w:val="ListParagraph"/>
        <w:numPr>
          <w:ilvl w:val="0"/>
          <w:numId w:val="7"/>
        </w:numPr>
      </w:pPr>
      <w:r>
        <w:t>Run KB_main.do.</w:t>
      </w:r>
    </w:p>
    <w:p w14:paraId="7CB8908D" w14:textId="77777777" w:rsidR="00C0194A" w:rsidRDefault="001D1BE9" w:rsidP="001D1BE9">
      <w:r>
        <w:t>The main function of each file is described briefly here. For more detail, see the comments provided within the code.</w:t>
      </w:r>
    </w:p>
    <w:p w14:paraId="4F8E5926" w14:textId="77777777" w:rsidR="00D22400" w:rsidRDefault="00D22400" w:rsidP="00D22400">
      <w:pPr>
        <w:ind w:left="720" w:hanging="720"/>
      </w:pPr>
      <w:r w:rsidRPr="00D22400">
        <w:rPr>
          <w:i/>
        </w:rPr>
        <w:t>KB_main.do</w:t>
      </w:r>
      <w:r>
        <w:t xml:space="preserve"> – This is the main control for the entire project. To reproduce all results, simply edit the path directory and run.</w:t>
      </w:r>
    </w:p>
    <w:p w14:paraId="22FEDE40" w14:textId="77777777" w:rsidR="00E44F93" w:rsidRDefault="00D22400" w:rsidP="00C0194A">
      <w:pPr>
        <w:ind w:left="1440" w:hanging="720"/>
      </w:pPr>
      <w:r w:rsidRPr="00D22400">
        <w:rPr>
          <w:i/>
        </w:rPr>
        <w:t>KB_infsetup.do</w:t>
      </w:r>
      <w:r>
        <w:t xml:space="preserve"> – This file ensures that all directories exist and sets some simple macros for use throughout the project.</w:t>
      </w:r>
    </w:p>
    <w:p w14:paraId="26A0EFC1" w14:textId="77777777" w:rsidR="0057020B" w:rsidRPr="0057020B" w:rsidRDefault="0057020B" w:rsidP="009570C9">
      <w:pPr>
        <w:rPr>
          <w:b/>
          <w:i/>
        </w:rPr>
      </w:pPr>
      <w:r w:rsidRPr="0057020B">
        <w:rPr>
          <w:b/>
          <w:i/>
        </w:rPr>
        <w:t>Data Preparation</w:t>
      </w:r>
    </w:p>
    <w:p w14:paraId="071A82ED" w14:textId="77777777" w:rsidR="0057020B" w:rsidRDefault="0057020B" w:rsidP="003B25AD">
      <w:pPr>
        <w:ind w:left="1440" w:hanging="720"/>
      </w:pPr>
      <w:r w:rsidRPr="003B25AD">
        <w:rPr>
          <w:i/>
        </w:rPr>
        <w:t>KB_wbarea.do</w:t>
      </w:r>
      <w:r w:rsidR="003B25AD">
        <w:t xml:space="preserve"> – Cleans the World Bank territory data</w:t>
      </w:r>
    </w:p>
    <w:p w14:paraId="1F1D8056" w14:textId="77777777" w:rsidR="0057020B" w:rsidRDefault="0057020B" w:rsidP="003B25AD">
      <w:pPr>
        <w:ind w:left="1440" w:hanging="720"/>
      </w:pPr>
      <w:r w:rsidRPr="003B25AD">
        <w:rPr>
          <w:i/>
        </w:rPr>
        <w:t>KB_sfdata.do</w:t>
      </w:r>
      <w:r w:rsidR="003B25AD">
        <w:t xml:space="preserve"> – Cleans the data on state failures</w:t>
      </w:r>
    </w:p>
    <w:p w14:paraId="49D12C99" w14:textId="77777777" w:rsidR="0057020B" w:rsidRDefault="0057020B" w:rsidP="003B25AD">
      <w:pPr>
        <w:ind w:left="1440" w:hanging="720"/>
      </w:pPr>
      <w:r w:rsidRPr="00C0194A">
        <w:rPr>
          <w:i/>
        </w:rPr>
        <w:t>KB_cleancow.do</w:t>
      </w:r>
      <w:r w:rsidR="003B25AD">
        <w:t xml:space="preserve"> – Control file for cleaning all COW data</w:t>
      </w:r>
    </w:p>
    <w:p w14:paraId="78A8BCC0" w14:textId="77777777" w:rsidR="0057020B" w:rsidRDefault="0057020B" w:rsidP="003B25AD">
      <w:pPr>
        <w:ind w:left="2160" w:hanging="720"/>
      </w:pPr>
      <w:r w:rsidRPr="003B25AD">
        <w:rPr>
          <w:i/>
        </w:rPr>
        <w:t>KB_cleancow_wars.do</w:t>
      </w:r>
      <w:r w:rsidR="003B25AD">
        <w:t xml:space="preserve"> –</w:t>
      </w:r>
      <w:r w:rsidR="00C0194A">
        <w:t xml:space="preserve"> C</w:t>
      </w:r>
      <w:r w:rsidR="003B25AD">
        <w:t>leans raw COW data on wars</w:t>
      </w:r>
    </w:p>
    <w:p w14:paraId="7C5E036A" w14:textId="77777777" w:rsidR="0057020B" w:rsidRDefault="0057020B" w:rsidP="003B25AD">
      <w:pPr>
        <w:ind w:left="2160" w:hanging="720"/>
      </w:pPr>
      <w:r w:rsidRPr="003B25AD">
        <w:rPr>
          <w:i/>
        </w:rPr>
        <w:t>KB_cleancow_states.do</w:t>
      </w:r>
      <w:r w:rsidR="003B25AD">
        <w:t xml:space="preserve"> –</w:t>
      </w:r>
      <w:r w:rsidR="00C0194A">
        <w:t xml:space="preserve"> C</w:t>
      </w:r>
      <w:r w:rsidR="003B25AD">
        <w:t>reates state system roster and data on state counts</w:t>
      </w:r>
    </w:p>
    <w:p w14:paraId="3DB5E87A" w14:textId="77777777" w:rsidR="0057020B" w:rsidRDefault="0057020B" w:rsidP="003B25AD">
      <w:pPr>
        <w:ind w:left="2160" w:hanging="720"/>
      </w:pPr>
      <w:r w:rsidRPr="003B25AD">
        <w:rPr>
          <w:i/>
        </w:rPr>
        <w:t>KB_cleancow_tc.do</w:t>
      </w:r>
      <w:r w:rsidR="003B25AD">
        <w:t xml:space="preserve"> –</w:t>
      </w:r>
      <w:r w:rsidR="00C0194A">
        <w:t xml:space="preserve"> C</w:t>
      </w:r>
      <w:r w:rsidR="003B25AD">
        <w:t>leans COW Territorial Change data</w:t>
      </w:r>
    </w:p>
    <w:p w14:paraId="06A46A9D" w14:textId="77777777" w:rsidR="0057020B" w:rsidRDefault="0057020B" w:rsidP="003B25AD">
      <w:pPr>
        <w:ind w:left="2160" w:hanging="720"/>
      </w:pPr>
      <w:r w:rsidRPr="003B25AD">
        <w:rPr>
          <w:i/>
        </w:rPr>
        <w:t>KB_cleancow_stockwars.do</w:t>
      </w:r>
      <w:r w:rsidR="003B25AD">
        <w:t xml:space="preserve"> –</w:t>
      </w:r>
      <w:r w:rsidR="00C0194A">
        <w:t xml:space="preserve"> C</w:t>
      </w:r>
      <w:r w:rsidR="003B25AD">
        <w:t>reates a dataset containing stock data on wars active in a given year</w:t>
      </w:r>
    </w:p>
    <w:p w14:paraId="6C9AB7CA" w14:textId="77777777" w:rsidR="0057020B" w:rsidRDefault="0057020B" w:rsidP="003B25AD">
      <w:pPr>
        <w:ind w:left="1440" w:hanging="720"/>
      </w:pPr>
      <w:r w:rsidRPr="00C0194A">
        <w:rPr>
          <w:i/>
        </w:rPr>
        <w:t>KB_riskdata.do</w:t>
      </w:r>
      <w:r w:rsidR="003B25AD">
        <w:t xml:space="preserve"> –</w:t>
      </w:r>
      <w:r w:rsidR="00C0194A">
        <w:t>C</w:t>
      </w:r>
      <w:r w:rsidR="003B25AD">
        <w:t xml:space="preserve">ontrol file for creating </w:t>
      </w:r>
      <w:r w:rsidR="000C24E6">
        <w:t>conquest data</w:t>
      </w:r>
    </w:p>
    <w:p w14:paraId="0689A76A" w14:textId="77777777" w:rsidR="003B25AD" w:rsidRDefault="003B25AD" w:rsidP="00C0194A">
      <w:pPr>
        <w:ind w:left="2160" w:hanging="720"/>
      </w:pPr>
      <w:r w:rsidRPr="00C0194A">
        <w:rPr>
          <w:i/>
        </w:rPr>
        <w:t>KB_riskdata_combinetclc.do</w:t>
      </w:r>
      <w:r>
        <w:t xml:space="preserve"> – Combines territorial change data</w:t>
      </w:r>
      <w:r w:rsidR="00C0194A">
        <w:t xml:space="preserve"> on conquests</w:t>
      </w:r>
      <w:r>
        <w:t xml:space="preserve"> with legal categories</w:t>
      </w:r>
    </w:p>
    <w:p w14:paraId="69E837B1" w14:textId="77777777" w:rsidR="003B25AD" w:rsidRDefault="003B25AD" w:rsidP="00C0194A">
      <w:pPr>
        <w:ind w:left="2160" w:hanging="720"/>
      </w:pPr>
      <w:r w:rsidRPr="00C0194A">
        <w:rPr>
          <w:i/>
        </w:rPr>
        <w:t>KB_riskdata_idrev.do</w:t>
      </w:r>
      <w:r>
        <w:t xml:space="preserve"> – Controls algorithm to longitudinally identify reversions</w:t>
      </w:r>
    </w:p>
    <w:p w14:paraId="0CAD6542" w14:textId="77777777" w:rsidR="00C0194A" w:rsidRDefault="00C0194A" w:rsidP="00C0194A">
      <w:pPr>
        <w:ind w:left="2880" w:hanging="720"/>
      </w:pPr>
      <w:r w:rsidRPr="00C0194A">
        <w:rPr>
          <w:i/>
        </w:rPr>
        <w:t>KB_riskdata_idrev_matchmatrix.do</w:t>
      </w:r>
      <w:r>
        <w:t xml:space="preserve"> – Creates a matrix of all transfers to determine which might be reversion of the other</w:t>
      </w:r>
    </w:p>
    <w:p w14:paraId="7312544A" w14:textId="77777777" w:rsidR="00C0194A" w:rsidRDefault="00C0194A" w:rsidP="00C0194A">
      <w:pPr>
        <w:ind w:left="2880" w:hanging="720"/>
      </w:pPr>
      <w:r w:rsidRPr="00C0194A">
        <w:rPr>
          <w:i/>
        </w:rPr>
        <w:lastRenderedPageBreak/>
        <w:t>KB_riskdata_idrev_setup.do</w:t>
      </w:r>
      <w:r>
        <w:t xml:space="preserve"> – Creates empty reversion tags in the TC data to be filled by the algorithm</w:t>
      </w:r>
    </w:p>
    <w:p w14:paraId="21388762" w14:textId="77777777" w:rsidR="00C0194A" w:rsidRDefault="00C0194A" w:rsidP="00C0194A">
      <w:pPr>
        <w:ind w:left="2880" w:hanging="720"/>
      </w:pPr>
      <w:r w:rsidRPr="00C0194A">
        <w:rPr>
          <w:i/>
        </w:rPr>
        <w:t>KB_riskdata_idrev_manuals.do</w:t>
      </w:r>
      <w:r>
        <w:t xml:space="preserve"> – Manually assigns reversions that are too complicated to be picked up by the algorithm</w:t>
      </w:r>
    </w:p>
    <w:p w14:paraId="10AE6EAE" w14:textId="77777777" w:rsidR="00C0194A" w:rsidRDefault="00C0194A" w:rsidP="00C0194A">
      <w:pPr>
        <w:ind w:left="2880" w:hanging="720"/>
      </w:pPr>
      <w:r w:rsidRPr="00C0194A">
        <w:rPr>
          <w:i/>
        </w:rPr>
        <w:t>KB_riskdata_idrev_automatics.do</w:t>
      </w:r>
      <w:r>
        <w:t xml:space="preserve"> – Automatically detects reversions based on the 10 and 10 rule</w:t>
      </w:r>
    </w:p>
    <w:p w14:paraId="0ED8C5E8" w14:textId="77777777" w:rsidR="00C0194A" w:rsidRDefault="00C0194A" w:rsidP="00C0194A">
      <w:pPr>
        <w:ind w:left="2880" w:hanging="720"/>
      </w:pPr>
      <w:r w:rsidRPr="00C0194A">
        <w:rPr>
          <w:i/>
        </w:rPr>
        <w:t>KB_riskdata_idrev_checks.do</w:t>
      </w:r>
      <w:r>
        <w:t xml:space="preserve"> – implements logical checks to for type I/type II error</w:t>
      </w:r>
    </w:p>
    <w:p w14:paraId="2D2D0DB4" w14:textId="77777777" w:rsidR="00C0194A" w:rsidRDefault="00C0194A" w:rsidP="00C0194A">
      <w:pPr>
        <w:tabs>
          <w:tab w:val="center" w:pos="5760"/>
        </w:tabs>
        <w:ind w:left="2880" w:hanging="720"/>
      </w:pPr>
      <w:r w:rsidRPr="00C0194A">
        <w:rPr>
          <w:i/>
        </w:rPr>
        <w:t>KB_riskdata_idrev_remainders.do</w:t>
      </w:r>
      <w:r>
        <w:t xml:space="preserve"> – Generates a list of conflicts that look close but are not assigned (candidates for manual assignment)</w:t>
      </w:r>
      <w:r>
        <w:tab/>
      </w:r>
    </w:p>
    <w:p w14:paraId="3473839D" w14:textId="77777777" w:rsidR="003B25AD" w:rsidRDefault="003B25AD" w:rsidP="00C0194A">
      <w:pPr>
        <w:ind w:left="2160" w:hanging="720"/>
      </w:pPr>
      <w:r w:rsidRPr="00C0194A">
        <w:rPr>
          <w:i/>
        </w:rPr>
        <w:t>KB_riskdata_conqflags.do</w:t>
      </w:r>
      <w:r>
        <w:t xml:space="preserve"> – Creates conquest flags as described in the documentation</w:t>
      </w:r>
    </w:p>
    <w:p w14:paraId="4E8CF3FA" w14:textId="77777777" w:rsidR="003B25AD" w:rsidRDefault="003B25AD" w:rsidP="00C0194A">
      <w:pPr>
        <w:ind w:left="2160" w:hanging="720"/>
      </w:pPr>
      <w:r w:rsidRPr="00C0194A">
        <w:rPr>
          <w:i/>
        </w:rPr>
        <w:t>KB_riskdata_instate.do</w:t>
      </w:r>
      <w:r>
        <w:t xml:space="preserve"> – Creates a flag for whether the loser of a conquest was a state at the time of conquest</w:t>
      </w:r>
    </w:p>
    <w:p w14:paraId="1078A4C6" w14:textId="77777777" w:rsidR="0057020B" w:rsidRDefault="0057020B" w:rsidP="003B25AD">
      <w:pPr>
        <w:ind w:left="1440" w:hanging="720"/>
      </w:pPr>
      <w:r w:rsidRPr="003B25AD">
        <w:rPr>
          <w:i/>
        </w:rPr>
        <w:t>KB_ssdata.do</w:t>
      </w:r>
      <w:r w:rsidR="003B25AD">
        <w:t xml:space="preserve"> – Matches World Bank data to Territorial Change data to infer state sizes in a given year</w:t>
      </w:r>
    </w:p>
    <w:p w14:paraId="7F56096E" w14:textId="77777777" w:rsidR="0057020B" w:rsidRPr="0057020B" w:rsidRDefault="0057020B" w:rsidP="009570C9">
      <w:pPr>
        <w:rPr>
          <w:b/>
          <w:i/>
        </w:rPr>
      </w:pPr>
      <w:r w:rsidRPr="0057020B">
        <w:rPr>
          <w:b/>
          <w:i/>
        </w:rPr>
        <w:t xml:space="preserve">Analysis </w:t>
      </w:r>
    </w:p>
    <w:p w14:paraId="22B4C86F" w14:textId="77777777" w:rsidR="0057020B" w:rsidRDefault="0057020B" w:rsidP="00C0194A">
      <w:pPr>
        <w:ind w:left="1440" w:hanging="720"/>
      </w:pPr>
      <w:r w:rsidRPr="00C0194A">
        <w:rPr>
          <w:i/>
        </w:rPr>
        <w:t>KB_statecount.do</w:t>
      </w:r>
      <w:r w:rsidR="00C0194A">
        <w:t xml:space="preserve"> – Generates a table and figure describing the number of states in the state system over time</w:t>
      </w:r>
    </w:p>
    <w:p w14:paraId="0C7A0D63" w14:textId="77777777" w:rsidR="0057020B" w:rsidRDefault="0057020B" w:rsidP="00C0194A">
      <w:pPr>
        <w:ind w:left="1440" w:hanging="720"/>
      </w:pPr>
      <w:r w:rsidRPr="00C0194A">
        <w:rPr>
          <w:i/>
        </w:rPr>
        <w:t>KB_indcount.do</w:t>
      </w:r>
      <w:r w:rsidR="00C0194A">
        <w:t xml:space="preserve"> – Creates a figure and table showing the number of independences per year and decade</w:t>
      </w:r>
    </w:p>
    <w:p w14:paraId="4160583F" w14:textId="77777777" w:rsidR="0057020B" w:rsidRDefault="0057020B" w:rsidP="00C0194A">
      <w:pPr>
        <w:ind w:left="1440" w:hanging="720"/>
      </w:pPr>
      <w:r w:rsidRPr="00C0194A">
        <w:rPr>
          <w:i/>
        </w:rPr>
        <w:t>KB_s</w:t>
      </w:r>
      <w:r w:rsidR="00C0194A" w:rsidRPr="00C0194A">
        <w:rPr>
          <w:i/>
        </w:rPr>
        <w:t>f</w:t>
      </w:r>
      <w:r w:rsidRPr="00C0194A">
        <w:rPr>
          <w:i/>
        </w:rPr>
        <w:t>fig.do</w:t>
      </w:r>
      <w:r w:rsidR="00C0194A">
        <w:t xml:space="preserve"> – Generates a table and figure showing the number of state failures over time</w:t>
      </w:r>
    </w:p>
    <w:p w14:paraId="28263517" w14:textId="77777777" w:rsidR="0057020B" w:rsidRDefault="0057020B" w:rsidP="00C0194A">
      <w:pPr>
        <w:ind w:left="1440" w:hanging="720"/>
      </w:pPr>
      <w:r w:rsidRPr="00C0194A">
        <w:rPr>
          <w:i/>
        </w:rPr>
        <w:t>KB_intrafig.do</w:t>
      </w:r>
      <w:r w:rsidR="00C0194A">
        <w:t xml:space="preserve"> – Generates a table and figure showing the number of active intra state wars over time</w:t>
      </w:r>
    </w:p>
    <w:p w14:paraId="5CCF82C7" w14:textId="77777777" w:rsidR="0057020B" w:rsidRDefault="0057020B" w:rsidP="00C0194A">
      <w:pPr>
        <w:ind w:left="1440" w:hanging="720"/>
      </w:pPr>
      <w:r w:rsidRPr="00C0194A">
        <w:rPr>
          <w:i/>
        </w:rPr>
        <w:t>KB_riskfig.do</w:t>
      </w:r>
      <w:r w:rsidR="00C0194A">
        <w:t xml:space="preserve"> – Generates tables and figures describing the rate of conquest and area conquered over time</w:t>
      </w:r>
    </w:p>
    <w:p w14:paraId="1FD8FAD1" w14:textId="77777777" w:rsidR="0057020B" w:rsidRPr="009570C9" w:rsidRDefault="0057020B" w:rsidP="00C0194A">
      <w:pPr>
        <w:ind w:left="1440" w:hanging="720"/>
      </w:pPr>
      <w:r w:rsidRPr="00C0194A">
        <w:rPr>
          <w:i/>
        </w:rPr>
        <w:t>KB_ssfig.do</w:t>
      </w:r>
      <w:r w:rsidR="00C0194A">
        <w:t xml:space="preserve"> – Generates data and a figure plotting the evolution of state size over time</w:t>
      </w:r>
    </w:p>
    <w:p w14:paraId="621AD454" w14:textId="77777777" w:rsidR="00822E97" w:rsidRPr="00822E97" w:rsidRDefault="00822E97" w:rsidP="009570C9">
      <w:pPr>
        <w:pStyle w:val="Heading1"/>
      </w:pPr>
    </w:p>
    <w:sectPr w:rsidR="00822E97" w:rsidRPr="00822E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64C32" w14:textId="77777777" w:rsidR="001E1C36" w:rsidRDefault="001E1C36" w:rsidP="00987F98">
      <w:pPr>
        <w:spacing w:after="0" w:line="240" w:lineRule="auto"/>
      </w:pPr>
      <w:r>
        <w:separator/>
      </w:r>
    </w:p>
  </w:endnote>
  <w:endnote w:type="continuationSeparator" w:id="0">
    <w:p w14:paraId="5B99F002" w14:textId="77777777" w:rsidR="001E1C36" w:rsidRDefault="001E1C36" w:rsidP="00987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08165" w14:textId="77777777" w:rsidR="001E1C36" w:rsidRDefault="001E1C36" w:rsidP="00987F98">
      <w:pPr>
        <w:spacing w:after="0" w:line="240" w:lineRule="auto"/>
      </w:pPr>
      <w:r>
        <w:separator/>
      </w:r>
    </w:p>
  </w:footnote>
  <w:footnote w:type="continuationSeparator" w:id="0">
    <w:p w14:paraId="0FA8104D" w14:textId="77777777" w:rsidR="001E1C36" w:rsidRDefault="001E1C36" w:rsidP="00987F98">
      <w:pPr>
        <w:spacing w:after="0" w:line="240" w:lineRule="auto"/>
      </w:pPr>
      <w:r>
        <w:continuationSeparator/>
      </w:r>
    </w:p>
  </w:footnote>
  <w:footnote w:id="1">
    <w:p w14:paraId="530B27D4" w14:textId="77777777" w:rsidR="001E1C36" w:rsidRDefault="001E1C36" w:rsidP="00293C02">
      <w:pPr>
        <w:pStyle w:val="FootnoteText"/>
        <w:jc w:val="left"/>
      </w:pPr>
      <w:r>
        <w:rPr>
          <w:rStyle w:val="FootnoteReference"/>
        </w:rPr>
        <w:footnoteRef/>
      </w:r>
      <w:r>
        <w:t xml:space="preserve"> For more detailed information on the Territorial Change data, see the documentation at </w:t>
      </w:r>
      <w:hyperlink r:id="rId1" w:history="1">
        <w:r w:rsidRPr="00B34FB2">
          <w:rPr>
            <w:rStyle w:val="Hyperlink"/>
          </w:rPr>
          <w:t>http://www.correlatesofwar.org/data-sets/territorial-change</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D90"/>
    <w:multiLevelType w:val="hybridMultilevel"/>
    <w:tmpl w:val="56D23F52"/>
    <w:lvl w:ilvl="0" w:tplc="ED74066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4E268D"/>
    <w:multiLevelType w:val="hybridMultilevel"/>
    <w:tmpl w:val="C2524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DC7D36"/>
    <w:multiLevelType w:val="hybridMultilevel"/>
    <w:tmpl w:val="703E94D8"/>
    <w:lvl w:ilvl="0" w:tplc="EC1ECC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1140CE"/>
    <w:multiLevelType w:val="hybridMultilevel"/>
    <w:tmpl w:val="3F7E4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7745DC"/>
    <w:multiLevelType w:val="hybridMultilevel"/>
    <w:tmpl w:val="414A1A80"/>
    <w:lvl w:ilvl="0" w:tplc="EC1ECC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594919"/>
    <w:multiLevelType w:val="hybridMultilevel"/>
    <w:tmpl w:val="2642F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B02C31"/>
    <w:multiLevelType w:val="hybridMultilevel"/>
    <w:tmpl w:val="2586E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F4"/>
    <w:rsid w:val="00005548"/>
    <w:rsid w:val="000263C5"/>
    <w:rsid w:val="00033938"/>
    <w:rsid w:val="00067E98"/>
    <w:rsid w:val="000C24E6"/>
    <w:rsid w:val="000C2B33"/>
    <w:rsid w:val="000C6C87"/>
    <w:rsid w:val="000D6184"/>
    <w:rsid w:val="000E1B05"/>
    <w:rsid w:val="00100180"/>
    <w:rsid w:val="00123BE8"/>
    <w:rsid w:val="00136F11"/>
    <w:rsid w:val="00153BF4"/>
    <w:rsid w:val="00177E87"/>
    <w:rsid w:val="00185E4D"/>
    <w:rsid w:val="001928EA"/>
    <w:rsid w:val="001A3EB4"/>
    <w:rsid w:val="001C19D1"/>
    <w:rsid w:val="001C3794"/>
    <w:rsid w:val="001D1BE9"/>
    <w:rsid w:val="001E1C36"/>
    <w:rsid w:val="001E529F"/>
    <w:rsid w:val="002101FE"/>
    <w:rsid w:val="00240145"/>
    <w:rsid w:val="00265051"/>
    <w:rsid w:val="00282AC4"/>
    <w:rsid w:val="00293C02"/>
    <w:rsid w:val="002B2779"/>
    <w:rsid w:val="002D16CF"/>
    <w:rsid w:val="002F1775"/>
    <w:rsid w:val="00311A62"/>
    <w:rsid w:val="00364C54"/>
    <w:rsid w:val="003A3C5D"/>
    <w:rsid w:val="003B25AD"/>
    <w:rsid w:val="003C13D7"/>
    <w:rsid w:val="003C2A5D"/>
    <w:rsid w:val="003C4ABE"/>
    <w:rsid w:val="003D5280"/>
    <w:rsid w:val="003F0CFB"/>
    <w:rsid w:val="00432256"/>
    <w:rsid w:val="00477219"/>
    <w:rsid w:val="004A53DC"/>
    <w:rsid w:val="004B50AB"/>
    <w:rsid w:val="00507082"/>
    <w:rsid w:val="00507A7A"/>
    <w:rsid w:val="0055202F"/>
    <w:rsid w:val="00554ADA"/>
    <w:rsid w:val="005625F6"/>
    <w:rsid w:val="0056342A"/>
    <w:rsid w:val="005653ED"/>
    <w:rsid w:val="0057020B"/>
    <w:rsid w:val="00580335"/>
    <w:rsid w:val="00580BBC"/>
    <w:rsid w:val="00587004"/>
    <w:rsid w:val="00592AEB"/>
    <w:rsid w:val="005A58AE"/>
    <w:rsid w:val="005C11B0"/>
    <w:rsid w:val="005C4617"/>
    <w:rsid w:val="005E19ED"/>
    <w:rsid w:val="00600C37"/>
    <w:rsid w:val="006131CC"/>
    <w:rsid w:val="006241F2"/>
    <w:rsid w:val="00643138"/>
    <w:rsid w:val="00663946"/>
    <w:rsid w:val="0068171D"/>
    <w:rsid w:val="00694BB7"/>
    <w:rsid w:val="006A790A"/>
    <w:rsid w:val="006C27D1"/>
    <w:rsid w:val="007413A5"/>
    <w:rsid w:val="007475D4"/>
    <w:rsid w:val="007B38A5"/>
    <w:rsid w:val="007E0593"/>
    <w:rsid w:val="007F294A"/>
    <w:rsid w:val="00805BC7"/>
    <w:rsid w:val="00822E97"/>
    <w:rsid w:val="00823806"/>
    <w:rsid w:val="00856746"/>
    <w:rsid w:val="00867830"/>
    <w:rsid w:val="008928D3"/>
    <w:rsid w:val="00894952"/>
    <w:rsid w:val="008A4104"/>
    <w:rsid w:val="008D297E"/>
    <w:rsid w:val="008E26D7"/>
    <w:rsid w:val="008F4F71"/>
    <w:rsid w:val="009570C9"/>
    <w:rsid w:val="00967265"/>
    <w:rsid w:val="00980324"/>
    <w:rsid w:val="009835EE"/>
    <w:rsid w:val="009842B2"/>
    <w:rsid w:val="0098768F"/>
    <w:rsid w:val="00987F98"/>
    <w:rsid w:val="00997272"/>
    <w:rsid w:val="009F00D7"/>
    <w:rsid w:val="00A21753"/>
    <w:rsid w:val="00A23866"/>
    <w:rsid w:val="00A43606"/>
    <w:rsid w:val="00A65A70"/>
    <w:rsid w:val="00AA1238"/>
    <w:rsid w:val="00AA3C4F"/>
    <w:rsid w:val="00AF1C6A"/>
    <w:rsid w:val="00B751AE"/>
    <w:rsid w:val="00B775CC"/>
    <w:rsid w:val="00BB1A5E"/>
    <w:rsid w:val="00C00063"/>
    <w:rsid w:val="00C0194A"/>
    <w:rsid w:val="00C25848"/>
    <w:rsid w:val="00C25BF9"/>
    <w:rsid w:val="00C418DD"/>
    <w:rsid w:val="00C927E3"/>
    <w:rsid w:val="00CA1030"/>
    <w:rsid w:val="00CA7F92"/>
    <w:rsid w:val="00CD0BCA"/>
    <w:rsid w:val="00CD13FE"/>
    <w:rsid w:val="00CF2292"/>
    <w:rsid w:val="00D22400"/>
    <w:rsid w:val="00D526CF"/>
    <w:rsid w:val="00D56EA4"/>
    <w:rsid w:val="00D80D43"/>
    <w:rsid w:val="00D84E25"/>
    <w:rsid w:val="00DE4F65"/>
    <w:rsid w:val="00DF2A0F"/>
    <w:rsid w:val="00E02ABA"/>
    <w:rsid w:val="00E064C3"/>
    <w:rsid w:val="00E11E1E"/>
    <w:rsid w:val="00E160D6"/>
    <w:rsid w:val="00E25C44"/>
    <w:rsid w:val="00E35BD2"/>
    <w:rsid w:val="00E44F93"/>
    <w:rsid w:val="00E4649C"/>
    <w:rsid w:val="00E64EDF"/>
    <w:rsid w:val="00E651E5"/>
    <w:rsid w:val="00ED6888"/>
    <w:rsid w:val="00EF4EA3"/>
    <w:rsid w:val="00F50C8E"/>
    <w:rsid w:val="00FB79D9"/>
    <w:rsid w:val="00FD38CE"/>
    <w:rsid w:val="00FE3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0B5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3FE"/>
  </w:style>
  <w:style w:type="paragraph" w:styleId="Heading1">
    <w:name w:val="heading 1"/>
    <w:basedOn w:val="Normal"/>
    <w:next w:val="Normal"/>
    <w:link w:val="Heading1Char"/>
    <w:uiPriority w:val="9"/>
    <w:qFormat/>
    <w:rsid w:val="00CD13FE"/>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CD13FE"/>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CD13FE"/>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CD13FE"/>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CD13FE"/>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CD13FE"/>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CD13FE"/>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CD13FE"/>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CD13FE"/>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3FE"/>
    <w:pPr>
      <w:ind w:left="720"/>
      <w:contextualSpacing/>
    </w:pPr>
  </w:style>
  <w:style w:type="paragraph" w:styleId="FootnoteText">
    <w:name w:val="footnote text"/>
    <w:basedOn w:val="Normal"/>
    <w:link w:val="FootnoteTextChar"/>
    <w:uiPriority w:val="99"/>
    <w:semiHidden/>
    <w:unhideWhenUsed/>
    <w:rsid w:val="00987F98"/>
    <w:pPr>
      <w:spacing w:after="0" w:line="240" w:lineRule="auto"/>
    </w:pPr>
  </w:style>
  <w:style w:type="character" w:customStyle="1" w:styleId="FootnoteTextChar">
    <w:name w:val="Footnote Text Char"/>
    <w:basedOn w:val="DefaultParagraphFont"/>
    <w:link w:val="FootnoteText"/>
    <w:uiPriority w:val="99"/>
    <w:semiHidden/>
    <w:rsid w:val="00987F98"/>
    <w:rPr>
      <w:sz w:val="20"/>
      <w:szCs w:val="20"/>
    </w:rPr>
  </w:style>
  <w:style w:type="character" w:styleId="FootnoteReference">
    <w:name w:val="footnote reference"/>
    <w:basedOn w:val="DefaultParagraphFont"/>
    <w:uiPriority w:val="99"/>
    <w:semiHidden/>
    <w:unhideWhenUsed/>
    <w:rsid w:val="00987F98"/>
    <w:rPr>
      <w:vertAlign w:val="superscript"/>
    </w:rPr>
  </w:style>
  <w:style w:type="character" w:styleId="Hyperlink">
    <w:name w:val="Hyperlink"/>
    <w:basedOn w:val="DefaultParagraphFont"/>
    <w:uiPriority w:val="99"/>
    <w:unhideWhenUsed/>
    <w:rsid w:val="00987F98"/>
    <w:rPr>
      <w:color w:val="0000FF" w:themeColor="hyperlink"/>
      <w:u w:val="single"/>
    </w:rPr>
  </w:style>
  <w:style w:type="table" w:styleId="TableGrid">
    <w:name w:val="Table Grid"/>
    <w:basedOn w:val="TableNormal"/>
    <w:uiPriority w:val="59"/>
    <w:rsid w:val="00805B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C27D1"/>
    <w:rPr>
      <w:sz w:val="16"/>
      <w:szCs w:val="16"/>
    </w:rPr>
  </w:style>
  <w:style w:type="paragraph" w:styleId="CommentText">
    <w:name w:val="annotation text"/>
    <w:basedOn w:val="Normal"/>
    <w:link w:val="CommentTextChar"/>
    <w:uiPriority w:val="99"/>
    <w:semiHidden/>
    <w:unhideWhenUsed/>
    <w:rsid w:val="006C27D1"/>
    <w:pPr>
      <w:spacing w:line="240" w:lineRule="auto"/>
    </w:pPr>
  </w:style>
  <w:style w:type="character" w:customStyle="1" w:styleId="CommentTextChar">
    <w:name w:val="Comment Text Char"/>
    <w:basedOn w:val="DefaultParagraphFont"/>
    <w:link w:val="CommentText"/>
    <w:uiPriority w:val="99"/>
    <w:semiHidden/>
    <w:rsid w:val="006C27D1"/>
    <w:rPr>
      <w:sz w:val="20"/>
      <w:szCs w:val="20"/>
    </w:rPr>
  </w:style>
  <w:style w:type="paragraph" w:styleId="CommentSubject">
    <w:name w:val="annotation subject"/>
    <w:basedOn w:val="CommentText"/>
    <w:next w:val="CommentText"/>
    <w:link w:val="CommentSubjectChar"/>
    <w:uiPriority w:val="99"/>
    <w:semiHidden/>
    <w:unhideWhenUsed/>
    <w:rsid w:val="006C27D1"/>
    <w:rPr>
      <w:b/>
      <w:bCs/>
    </w:rPr>
  </w:style>
  <w:style w:type="character" w:customStyle="1" w:styleId="CommentSubjectChar">
    <w:name w:val="Comment Subject Char"/>
    <w:basedOn w:val="CommentTextChar"/>
    <w:link w:val="CommentSubject"/>
    <w:uiPriority w:val="99"/>
    <w:semiHidden/>
    <w:rsid w:val="006C27D1"/>
    <w:rPr>
      <w:b/>
      <w:bCs/>
      <w:sz w:val="20"/>
      <w:szCs w:val="20"/>
    </w:rPr>
  </w:style>
  <w:style w:type="paragraph" w:styleId="BalloonText">
    <w:name w:val="Balloon Text"/>
    <w:basedOn w:val="Normal"/>
    <w:link w:val="BalloonTextChar"/>
    <w:uiPriority w:val="99"/>
    <w:semiHidden/>
    <w:unhideWhenUsed/>
    <w:rsid w:val="006C2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7D1"/>
    <w:rPr>
      <w:rFonts w:ascii="Tahoma" w:hAnsi="Tahoma" w:cs="Tahoma"/>
      <w:sz w:val="16"/>
      <w:szCs w:val="16"/>
    </w:rPr>
  </w:style>
  <w:style w:type="character" w:customStyle="1" w:styleId="Heading2Char">
    <w:name w:val="Heading 2 Char"/>
    <w:basedOn w:val="DefaultParagraphFont"/>
    <w:link w:val="Heading2"/>
    <w:uiPriority w:val="9"/>
    <w:rsid w:val="00CD13FE"/>
    <w:rPr>
      <w:smallCaps/>
      <w:spacing w:val="5"/>
      <w:sz w:val="28"/>
      <w:szCs w:val="28"/>
    </w:rPr>
  </w:style>
  <w:style w:type="character" w:customStyle="1" w:styleId="Heading1Char">
    <w:name w:val="Heading 1 Char"/>
    <w:basedOn w:val="DefaultParagraphFont"/>
    <w:link w:val="Heading1"/>
    <w:uiPriority w:val="9"/>
    <w:rsid w:val="00CD13FE"/>
    <w:rPr>
      <w:smallCaps/>
      <w:spacing w:val="5"/>
      <w:sz w:val="32"/>
      <w:szCs w:val="32"/>
    </w:rPr>
  </w:style>
  <w:style w:type="character" w:customStyle="1" w:styleId="Heading3Char">
    <w:name w:val="Heading 3 Char"/>
    <w:basedOn w:val="DefaultParagraphFont"/>
    <w:link w:val="Heading3"/>
    <w:uiPriority w:val="9"/>
    <w:semiHidden/>
    <w:rsid w:val="00CD13FE"/>
    <w:rPr>
      <w:smallCaps/>
      <w:spacing w:val="5"/>
      <w:sz w:val="24"/>
      <w:szCs w:val="24"/>
    </w:rPr>
  </w:style>
  <w:style w:type="character" w:customStyle="1" w:styleId="Heading4Char">
    <w:name w:val="Heading 4 Char"/>
    <w:basedOn w:val="DefaultParagraphFont"/>
    <w:link w:val="Heading4"/>
    <w:uiPriority w:val="9"/>
    <w:semiHidden/>
    <w:rsid w:val="00CD13FE"/>
    <w:rPr>
      <w:smallCaps/>
      <w:spacing w:val="10"/>
      <w:sz w:val="22"/>
      <w:szCs w:val="22"/>
    </w:rPr>
  </w:style>
  <w:style w:type="character" w:customStyle="1" w:styleId="Heading5Char">
    <w:name w:val="Heading 5 Char"/>
    <w:basedOn w:val="DefaultParagraphFont"/>
    <w:link w:val="Heading5"/>
    <w:uiPriority w:val="9"/>
    <w:semiHidden/>
    <w:rsid w:val="00CD13FE"/>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CD13FE"/>
    <w:rPr>
      <w:smallCaps/>
      <w:color w:val="C0504D" w:themeColor="accent2"/>
      <w:spacing w:val="5"/>
      <w:sz w:val="22"/>
    </w:rPr>
  </w:style>
  <w:style w:type="character" w:customStyle="1" w:styleId="Heading7Char">
    <w:name w:val="Heading 7 Char"/>
    <w:basedOn w:val="DefaultParagraphFont"/>
    <w:link w:val="Heading7"/>
    <w:uiPriority w:val="9"/>
    <w:semiHidden/>
    <w:rsid w:val="00CD13FE"/>
    <w:rPr>
      <w:b/>
      <w:smallCaps/>
      <w:color w:val="C0504D" w:themeColor="accent2"/>
      <w:spacing w:val="10"/>
    </w:rPr>
  </w:style>
  <w:style w:type="character" w:customStyle="1" w:styleId="Heading8Char">
    <w:name w:val="Heading 8 Char"/>
    <w:basedOn w:val="DefaultParagraphFont"/>
    <w:link w:val="Heading8"/>
    <w:uiPriority w:val="9"/>
    <w:semiHidden/>
    <w:rsid w:val="00CD13FE"/>
    <w:rPr>
      <w:b/>
      <w:i/>
      <w:smallCaps/>
      <w:color w:val="943634" w:themeColor="accent2" w:themeShade="BF"/>
    </w:rPr>
  </w:style>
  <w:style w:type="character" w:customStyle="1" w:styleId="Heading9Char">
    <w:name w:val="Heading 9 Char"/>
    <w:basedOn w:val="DefaultParagraphFont"/>
    <w:link w:val="Heading9"/>
    <w:uiPriority w:val="9"/>
    <w:semiHidden/>
    <w:rsid w:val="00CD13FE"/>
    <w:rPr>
      <w:b/>
      <w:i/>
      <w:smallCaps/>
      <w:color w:val="622423" w:themeColor="accent2" w:themeShade="7F"/>
    </w:rPr>
  </w:style>
  <w:style w:type="paragraph" w:styleId="Caption">
    <w:name w:val="caption"/>
    <w:basedOn w:val="Normal"/>
    <w:next w:val="Normal"/>
    <w:uiPriority w:val="35"/>
    <w:semiHidden/>
    <w:unhideWhenUsed/>
    <w:qFormat/>
    <w:rsid w:val="00CD13FE"/>
    <w:rPr>
      <w:b/>
      <w:bCs/>
      <w:caps/>
      <w:sz w:val="16"/>
      <w:szCs w:val="18"/>
    </w:rPr>
  </w:style>
  <w:style w:type="paragraph" w:styleId="Title">
    <w:name w:val="Title"/>
    <w:basedOn w:val="Normal"/>
    <w:next w:val="Normal"/>
    <w:link w:val="TitleChar"/>
    <w:uiPriority w:val="10"/>
    <w:qFormat/>
    <w:rsid w:val="00CD13FE"/>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CD13FE"/>
    <w:rPr>
      <w:smallCaps/>
      <w:sz w:val="48"/>
      <w:szCs w:val="48"/>
    </w:rPr>
  </w:style>
  <w:style w:type="paragraph" w:styleId="Subtitle">
    <w:name w:val="Subtitle"/>
    <w:basedOn w:val="Normal"/>
    <w:next w:val="Normal"/>
    <w:link w:val="SubtitleChar"/>
    <w:uiPriority w:val="11"/>
    <w:qFormat/>
    <w:rsid w:val="00CD13FE"/>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CD13FE"/>
    <w:rPr>
      <w:rFonts w:asciiTheme="majorHAnsi" w:eastAsiaTheme="majorEastAsia" w:hAnsiTheme="majorHAnsi" w:cstheme="majorBidi"/>
      <w:szCs w:val="22"/>
    </w:rPr>
  </w:style>
  <w:style w:type="character" w:styleId="Strong">
    <w:name w:val="Strong"/>
    <w:uiPriority w:val="22"/>
    <w:qFormat/>
    <w:rsid w:val="00CD13FE"/>
    <w:rPr>
      <w:b/>
      <w:color w:val="C0504D" w:themeColor="accent2"/>
    </w:rPr>
  </w:style>
  <w:style w:type="character" w:styleId="Emphasis">
    <w:name w:val="Emphasis"/>
    <w:uiPriority w:val="20"/>
    <w:qFormat/>
    <w:rsid w:val="00CD13FE"/>
    <w:rPr>
      <w:b/>
      <w:i/>
      <w:spacing w:val="10"/>
    </w:rPr>
  </w:style>
  <w:style w:type="paragraph" w:styleId="NoSpacing">
    <w:name w:val="No Spacing"/>
    <w:basedOn w:val="Normal"/>
    <w:link w:val="NoSpacingChar"/>
    <w:uiPriority w:val="1"/>
    <w:qFormat/>
    <w:rsid w:val="00CD13FE"/>
    <w:pPr>
      <w:spacing w:after="0" w:line="240" w:lineRule="auto"/>
    </w:pPr>
  </w:style>
  <w:style w:type="character" w:customStyle="1" w:styleId="NoSpacingChar">
    <w:name w:val="No Spacing Char"/>
    <w:basedOn w:val="DefaultParagraphFont"/>
    <w:link w:val="NoSpacing"/>
    <w:uiPriority w:val="1"/>
    <w:rsid w:val="00CD13FE"/>
  </w:style>
  <w:style w:type="paragraph" w:styleId="Quote">
    <w:name w:val="Quote"/>
    <w:basedOn w:val="Normal"/>
    <w:next w:val="Normal"/>
    <w:link w:val="QuoteChar"/>
    <w:uiPriority w:val="29"/>
    <w:qFormat/>
    <w:rsid w:val="00CD13FE"/>
    <w:rPr>
      <w:i/>
    </w:rPr>
  </w:style>
  <w:style w:type="character" w:customStyle="1" w:styleId="QuoteChar">
    <w:name w:val="Quote Char"/>
    <w:basedOn w:val="DefaultParagraphFont"/>
    <w:link w:val="Quote"/>
    <w:uiPriority w:val="29"/>
    <w:rsid w:val="00CD13FE"/>
    <w:rPr>
      <w:i/>
    </w:rPr>
  </w:style>
  <w:style w:type="paragraph" w:styleId="IntenseQuote">
    <w:name w:val="Intense Quote"/>
    <w:basedOn w:val="Normal"/>
    <w:next w:val="Normal"/>
    <w:link w:val="IntenseQuoteChar"/>
    <w:uiPriority w:val="30"/>
    <w:qFormat/>
    <w:rsid w:val="00CD13FE"/>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CD13FE"/>
    <w:rPr>
      <w:b/>
      <w:i/>
      <w:color w:val="FFFFFF" w:themeColor="background1"/>
      <w:shd w:val="clear" w:color="auto" w:fill="C0504D" w:themeFill="accent2"/>
    </w:rPr>
  </w:style>
  <w:style w:type="character" w:styleId="SubtleEmphasis">
    <w:name w:val="Subtle Emphasis"/>
    <w:uiPriority w:val="19"/>
    <w:qFormat/>
    <w:rsid w:val="00CD13FE"/>
    <w:rPr>
      <w:i/>
    </w:rPr>
  </w:style>
  <w:style w:type="character" w:styleId="IntenseEmphasis">
    <w:name w:val="Intense Emphasis"/>
    <w:uiPriority w:val="21"/>
    <w:qFormat/>
    <w:rsid w:val="00CD13FE"/>
    <w:rPr>
      <w:b/>
      <w:i/>
      <w:color w:val="C0504D" w:themeColor="accent2"/>
      <w:spacing w:val="10"/>
    </w:rPr>
  </w:style>
  <w:style w:type="character" w:styleId="SubtleReference">
    <w:name w:val="Subtle Reference"/>
    <w:uiPriority w:val="31"/>
    <w:qFormat/>
    <w:rsid w:val="00CD13FE"/>
    <w:rPr>
      <w:b/>
    </w:rPr>
  </w:style>
  <w:style w:type="character" w:styleId="IntenseReference">
    <w:name w:val="Intense Reference"/>
    <w:uiPriority w:val="32"/>
    <w:qFormat/>
    <w:rsid w:val="00CD13FE"/>
    <w:rPr>
      <w:b/>
      <w:bCs/>
      <w:smallCaps/>
      <w:spacing w:val="5"/>
      <w:sz w:val="22"/>
      <w:szCs w:val="22"/>
      <w:u w:val="single"/>
    </w:rPr>
  </w:style>
  <w:style w:type="character" w:styleId="BookTitle">
    <w:name w:val="Book Title"/>
    <w:uiPriority w:val="33"/>
    <w:qFormat/>
    <w:rsid w:val="00CD13F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D13FE"/>
    <w:pPr>
      <w:outlineLvl w:val="9"/>
    </w:pPr>
    <w:rPr>
      <w:lang w:bidi="en-US"/>
    </w:rPr>
  </w:style>
  <w:style w:type="paragraph" w:styleId="Header">
    <w:name w:val="header"/>
    <w:basedOn w:val="Normal"/>
    <w:link w:val="HeaderChar"/>
    <w:uiPriority w:val="99"/>
    <w:unhideWhenUsed/>
    <w:rsid w:val="00067E98"/>
    <w:pPr>
      <w:tabs>
        <w:tab w:val="center" w:pos="4320"/>
        <w:tab w:val="right" w:pos="8640"/>
      </w:tabs>
      <w:spacing w:after="0" w:line="240" w:lineRule="auto"/>
    </w:pPr>
  </w:style>
  <w:style w:type="character" w:customStyle="1" w:styleId="HeaderChar">
    <w:name w:val="Header Char"/>
    <w:basedOn w:val="DefaultParagraphFont"/>
    <w:link w:val="Header"/>
    <w:uiPriority w:val="99"/>
    <w:rsid w:val="00067E98"/>
  </w:style>
  <w:style w:type="paragraph" w:styleId="Footer">
    <w:name w:val="footer"/>
    <w:basedOn w:val="Normal"/>
    <w:link w:val="FooterChar"/>
    <w:uiPriority w:val="99"/>
    <w:unhideWhenUsed/>
    <w:rsid w:val="00067E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067E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3FE"/>
  </w:style>
  <w:style w:type="paragraph" w:styleId="Heading1">
    <w:name w:val="heading 1"/>
    <w:basedOn w:val="Normal"/>
    <w:next w:val="Normal"/>
    <w:link w:val="Heading1Char"/>
    <w:uiPriority w:val="9"/>
    <w:qFormat/>
    <w:rsid w:val="00CD13FE"/>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CD13FE"/>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CD13FE"/>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CD13FE"/>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CD13FE"/>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CD13FE"/>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CD13FE"/>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CD13FE"/>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CD13FE"/>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3FE"/>
    <w:pPr>
      <w:ind w:left="720"/>
      <w:contextualSpacing/>
    </w:pPr>
  </w:style>
  <w:style w:type="paragraph" w:styleId="FootnoteText">
    <w:name w:val="footnote text"/>
    <w:basedOn w:val="Normal"/>
    <w:link w:val="FootnoteTextChar"/>
    <w:uiPriority w:val="99"/>
    <w:semiHidden/>
    <w:unhideWhenUsed/>
    <w:rsid w:val="00987F98"/>
    <w:pPr>
      <w:spacing w:after="0" w:line="240" w:lineRule="auto"/>
    </w:pPr>
  </w:style>
  <w:style w:type="character" w:customStyle="1" w:styleId="FootnoteTextChar">
    <w:name w:val="Footnote Text Char"/>
    <w:basedOn w:val="DefaultParagraphFont"/>
    <w:link w:val="FootnoteText"/>
    <w:uiPriority w:val="99"/>
    <w:semiHidden/>
    <w:rsid w:val="00987F98"/>
    <w:rPr>
      <w:sz w:val="20"/>
      <w:szCs w:val="20"/>
    </w:rPr>
  </w:style>
  <w:style w:type="character" w:styleId="FootnoteReference">
    <w:name w:val="footnote reference"/>
    <w:basedOn w:val="DefaultParagraphFont"/>
    <w:uiPriority w:val="99"/>
    <w:semiHidden/>
    <w:unhideWhenUsed/>
    <w:rsid w:val="00987F98"/>
    <w:rPr>
      <w:vertAlign w:val="superscript"/>
    </w:rPr>
  </w:style>
  <w:style w:type="character" w:styleId="Hyperlink">
    <w:name w:val="Hyperlink"/>
    <w:basedOn w:val="DefaultParagraphFont"/>
    <w:uiPriority w:val="99"/>
    <w:unhideWhenUsed/>
    <w:rsid w:val="00987F98"/>
    <w:rPr>
      <w:color w:val="0000FF" w:themeColor="hyperlink"/>
      <w:u w:val="single"/>
    </w:rPr>
  </w:style>
  <w:style w:type="table" w:styleId="TableGrid">
    <w:name w:val="Table Grid"/>
    <w:basedOn w:val="TableNormal"/>
    <w:uiPriority w:val="59"/>
    <w:rsid w:val="00805B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C27D1"/>
    <w:rPr>
      <w:sz w:val="16"/>
      <w:szCs w:val="16"/>
    </w:rPr>
  </w:style>
  <w:style w:type="paragraph" w:styleId="CommentText">
    <w:name w:val="annotation text"/>
    <w:basedOn w:val="Normal"/>
    <w:link w:val="CommentTextChar"/>
    <w:uiPriority w:val="99"/>
    <w:semiHidden/>
    <w:unhideWhenUsed/>
    <w:rsid w:val="006C27D1"/>
    <w:pPr>
      <w:spacing w:line="240" w:lineRule="auto"/>
    </w:pPr>
  </w:style>
  <w:style w:type="character" w:customStyle="1" w:styleId="CommentTextChar">
    <w:name w:val="Comment Text Char"/>
    <w:basedOn w:val="DefaultParagraphFont"/>
    <w:link w:val="CommentText"/>
    <w:uiPriority w:val="99"/>
    <w:semiHidden/>
    <w:rsid w:val="006C27D1"/>
    <w:rPr>
      <w:sz w:val="20"/>
      <w:szCs w:val="20"/>
    </w:rPr>
  </w:style>
  <w:style w:type="paragraph" w:styleId="CommentSubject">
    <w:name w:val="annotation subject"/>
    <w:basedOn w:val="CommentText"/>
    <w:next w:val="CommentText"/>
    <w:link w:val="CommentSubjectChar"/>
    <w:uiPriority w:val="99"/>
    <w:semiHidden/>
    <w:unhideWhenUsed/>
    <w:rsid w:val="006C27D1"/>
    <w:rPr>
      <w:b/>
      <w:bCs/>
    </w:rPr>
  </w:style>
  <w:style w:type="character" w:customStyle="1" w:styleId="CommentSubjectChar">
    <w:name w:val="Comment Subject Char"/>
    <w:basedOn w:val="CommentTextChar"/>
    <w:link w:val="CommentSubject"/>
    <w:uiPriority w:val="99"/>
    <w:semiHidden/>
    <w:rsid w:val="006C27D1"/>
    <w:rPr>
      <w:b/>
      <w:bCs/>
      <w:sz w:val="20"/>
      <w:szCs w:val="20"/>
    </w:rPr>
  </w:style>
  <w:style w:type="paragraph" w:styleId="BalloonText">
    <w:name w:val="Balloon Text"/>
    <w:basedOn w:val="Normal"/>
    <w:link w:val="BalloonTextChar"/>
    <w:uiPriority w:val="99"/>
    <w:semiHidden/>
    <w:unhideWhenUsed/>
    <w:rsid w:val="006C2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7D1"/>
    <w:rPr>
      <w:rFonts w:ascii="Tahoma" w:hAnsi="Tahoma" w:cs="Tahoma"/>
      <w:sz w:val="16"/>
      <w:szCs w:val="16"/>
    </w:rPr>
  </w:style>
  <w:style w:type="character" w:customStyle="1" w:styleId="Heading2Char">
    <w:name w:val="Heading 2 Char"/>
    <w:basedOn w:val="DefaultParagraphFont"/>
    <w:link w:val="Heading2"/>
    <w:uiPriority w:val="9"/>
    <w:rsid w:val="00CD13FE"/>
    <w:rPr>
      <w:smallCaps/>
      <w:spacing w:val="5"/>
      <w:sz w:val="28"/>
      <w:szCs w:val="28"/>
    </w:rPr>
  </w:style>
  <w:style w:type="character" w:customStyle="1" w:styleId="Heading1Char">
    <w:name w:val="Heading 1 Char"/>
    <w:basedOn w:val="DefaultParagraphFont"/>
    <w:link w:val="Heading1"/>
    <w:uiPriority w:val="9"/>
    <w:rsid w:val="00CD13FE"/>
    <w:rPr>
      <w:smallCaps/>
      <w:spacing w:val="5"/>
      <w:sz w:val="32"/>
      <w:szCs w:val="32"/>
    </w:rPr>
  </w:style>
  <w:style w:type="character" w:customStyle="1" w:styleId="Heading3Char">
    <w:name w:val="Heading 3 Char"/>
    <w:basedOn w:val="DefaultParagraphFont"/>
    <w:link w:val="Heading3"/>
    <w:uiPriority w:val="9"/>
    <w:semiHidden/>
    <w:rsid w:val="00CD13FE"/>
    <w:rPr>
      <w:smallCaps/>
      <w:spacing w:val="5"/>
      <w:sz w:val="24"/>
      <w:szCs w:val="24"/>
    </w:rPr>
  </w:style>
  <w:style w:type="character" w:customStyle="1" w:styleId="Heading4Char">
    <w:name w:val="Heading 4 Char"/>
    <w:basedOn w:val="DefaultParagraphFont"/>
    <w:link w:val="Heading4"/>
    <w:uiPriority w:val="9"/>
    <w:semiHidden/>
    <w:rsid w:val="00CD13FE"/>
    <w:rPr>
      <w:smallCaps/>
      <w:spacing w:val="10"/>
      <w:sz w:val="22"/>
      <w:szCs w:val="22"/>
    </w:rPr>
  </w:style>
  <w:style w:type="character" w:customStyle="1" w:styleId="Heading5Char">
    <w:name w:val="Heading 5 Char"/>
    <w:basedOn w:val="DefaultParagraphFont"/>
    <w:link w:val="Heading5"/>
    <w:uiPriority w:val="9"/>
    <w:semiHidden/>
    <w:rsid w:val="00CD13FE"/>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CD13FE"/>
    <w:rPr>
      <w:smallCaps/>
      <w:color w:val="C0504D" w:themeColor="accent2"/>
      <w:spacing w:val="5"/>
      <w:sz w:val="22"/>
    </w:rPr>
  </w:style>
  <w:style w:type="character" w:customStyle="1" w:styleId="Heading7Char">
    <w:name w:val="Heading 7 Char"/>
    <w:basedOn w:val="DefaultParagraphFont"/>
    <w:link w:val="Heading7"/>
    <w:uiPriority w:val="9"/>
    <w:semiHidden/>
    <w:rsid w:val="00CD13FE"/>
    <w:rPr>
      <w:b/>
      <w:smallCaps/>
      <w:color w:val="C0504D" w:themeColor="accent2"/>
      <w:spacing w:val="10"/>
    </w:rPr>
  </w:style>
  <w:style w:type="character" w:customStyle="1" w:styleId="Heading8Char">
    <w:name w:val="Heading 8 Char"/>
    <w:basedOn w:val="DefaultParagraphFont"/>
    <w:link w:val="Heading8"/>
    <w:uiPriority w:val="9"/>
    <w:semiHidden/>
    <w:rsid w:val="00CD13FE"/>
    <w:rPr>
      <w:b/>
      <w:i/>
      <w:smallCaps/>
      <w:color w:val="943634" w:themeColor="accent2" w:themeShade="BF"/>
    </w:rPr>
  </w:style>
  <w:style w:type="character" w:customStyle="1" w:styleId="Heading9Char">
    <w:name w:val="Heading 9 Char"/>
    <w:basedOn w:val="DefaultParagraphFont"/>
    <w:link w:val="Heading9"/>
    <w:uiPriority w:val="9"/>
    <w:semiHidden/>
    <w:rsid w:val="00CD13FE"/>
    <w:rPr>
      <w:b/>
      <w:i/>
      <w:smallCaps/>
      <w:color w:val="622423" w:themeColor="accent2" w:themeShade="7F"/>
    </w:rPr>
  </w:style>
  <w:style w:type="paragraph" w:styleId="Caption">
    <w:name w:val="caption"/>
    <w:basedOn w:val="Normal"/>
    <w:next w:val="Normal"/>
    <w:uiPriority w:val="35"/>
    <w:semiHidden/>
    <w:unhideWhenUsed/>
    <w:qFormat/>
    <w:rsid w:val="00CD13FE"/>
    <w:rPr>
      <w:b/>
      <w:bCs/>
      <w:caps/>
      <w:sz w:val="16"/>
      <w:szCs w:val="18"/>
    </w:rPr>
  </w:style>
  <w:style w:type="paragraph" w:styleId="Title">
    <w:name w:val="Title"/>
    <w:basedOn w:val="Normal"/>
    <w:next w:val="Normal"/>
    <w:link w:val="TitleChar"/>
    <w:uiPriority w:val="10"/>
    <w:qFormat/>
    <w:rsid w:val="00CD13FE"/>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CD13FE"/>
    <w:rPr>
      <w:smallCaps/>
      <w:sz w:val="48"/>
      <w:szCs w:val="48"/>
    </w:rPr>
  </w:style>
  <w:style w:type="paragraph" w:styleId="Subtitle">
    <w:name w:val="Subtitle"/>
    <w:basedOn w:val="Normal"/>
    <w:next w:val="Normal"/>
    <w:link w:val="SubtitleChar"/>
    <w:uiPriority w:val="11"/>
    <w:qFormat/>
    <w:rsid w:val="00CD13FE"/>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CD13FE"/>
    <w:rPr>
      <w:rFonts w:asciiTheme="majorHAnsi" w:eastAsiaTheme="majorEastAsia" w:hAnsiTheme="majorHAnsi" w:cstheme="majorBidi"/>
      <w:szCs w:val="22"/>
    </w:rPr>
  </w:style>
  <w:style w:type="character" w:styleId="Strong">
    <w:name w:val="Strong"/>
    <w:uiPriority w:val="22"/>
    <w:qFormat/>
    <w:rsid w:val="00CD13FE"/>
    <w:rPr>
      <w:b/>
      <w:color w:val="C0504D" w:themeColor="accent2"/>
    </w:rPr>
  </w:style>
  <w:style w:type="character" w:styleId="Emphasis">
    <w:name w:val="Emphasis"/>
    <w:uiPriority w:val="20"/>
    <w:qFormat/>
    <w:rsid w:val="00CD13FE"/>
    <w:rPr>
      <w:b/>
      <w:i/>
      <w:spacing w:val="10"/>
    </w:rPr>
  </w:style>
  <w:style w:type="paragraph" w:styleId="NoSpacing">
    <w:name w:val="No Spacing"/>
    <w:basedOn w:val="Normal"/>
    <w:link w:val="NoSpacingChar"/>
    <w:uiPriority w:val="1"/>
    <w:qFormat/>
    <w:rsid w:val="00CD13FE"/>
    <w:pPr>
      <w:spacing w:after="0" w:line="240" w:lineRule="auto"/>
    </w:pPr>
  </w:style>
  <w:style w:type="character" w:customStyle="1" w:styleId="NoSpacingChar">
    <w:name w:val="No Spacing Char"/>
    <w:basedOn w:val="DefaultParagraphFont"/>
    <w:link w:val="NoSpacing"/>
    <w:uiPriority w:val="1"/>
    <w:rsid w:val="00CD13FE"/>
  </w:style>
  <w:style w:type="paragraph" w:styleId="Quote">
    <w:name w:val="Quote"/>
    <w:basedOn w:val="Normal"/>
    <w:next w:val="Normal"/>
    <w:link w:val="QuoteChar"/>
    <w:uiPriority w:val="29"/>
    <w:qFormat/>
    <w:rsid w:val="00CD13FE"/>
    <w:rPr>
      <w:i/>
    </w:rPr>
  </w:style>
  <w:style w:type="character" w:customStyle="1" w:styleId="QuoteChar">
    <w:name w:val="Quote Char"/>
    <w:basedOn w:val="DefaultParagraphFont"/>
    <w:link w:val="Quote"/>
    <w:uiPriority w:val="29"/>
    <w:rsid w:val="00CD13FE"/>
    <w:rPr>
      <w:i/>
    </w:rPr>
  </w:style>
  <w:style w:type="paragraph" w:styleId="IntenseQuote">
    <w:name w:val="Intense Quote"/>
    <w:basedOn w:val="Normal"/>
    <w:next w:val="Normal"/>
    <w:link w:val="IntenseQuoteChar"/>
    <w:uiPriority w:val="30"/>
    <w:qFormat/>
    <w:rsid w:val="00CD13FE"/>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CD13FE"/>
    <w:rPr>
      <w:b/>
      <w:i/>
      <w:color w:val="FFFFFF" w:themeColor="background1"/>
      <w:shd w:val="clear" w:color="auto" w:fill="C0504D" w:themeFill="accent2"/>
    </w:rPr>
  </w:style>
  <w:style w:type="character" w:styleId="SubtleEmphasis">
    <w:name w:val="Subtle Emphasis"/>
    <w:uiPriority w:val="19"/>
    <w:qFormat/>
    <w:rsid w:val="00CD13FE"/>
    <w:rPr>
      <w:i/>
    </w:rPr>
  </w:style>
  <w:style w:type="character" w:styleId="IntenseEmphasis">
    <w:name w:val="Intense Emphasis"/>
    <w:uiPriority w:val="21"/>
    <w:qFormat/>
    <w:rsid w:val="00CD13FE"/>
    <w:rPr>
      <w:b/>
      <w:i/>
      <w:color w:val="C0504D" w:themeColor="accent2"/>
      <w:spacing w:val="10"/>
    </w:rPr>
  </w:style>
  <w:style w:type="character" w:styleId="SubtleReference">
    <w:name w:val="Subtle Reference"/>
    <w:uiPriority w:val="31"/>
    <w:qFormat/>
    <w:rsid w:val="00CD13FE"/>
    <w:rPr>
      <w:b/>
    </w:rPr>
  </w:style>
  <w:style w:type="character" w:styleId="IntenseReference">
    <w:name w:val="Intense Reference"/>
    <w:uiPriority w:val="32"/>
    <w:qFormat/>
    <w:rsid w:val="00CD13FE"/>
    <w:rPr>
      <w:b/>
      <w:bCs/>
      <w:smallCaps/>
      <w:spacing w:val="5"/>
      <w:sz w:val="22"/>
      <w:szCs w:val="22"/>
      <w:u w:val="single"/>
    </w:rPr>
  </w:style>
  <w:style w:type="character" w:styleId="BookTitle">
    <w:name w:val="Book Title"/>
    <w:uiPriority w:val="33"/>
    <w:qFormat/>
    <w:rsid w:val="00CD13F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D13FE"/>
    <w:pPr>
      <w:outlineLvl w:val="9"/>
    </w:pPr>
    <w:rPr>
      <w:lang w:bidi="en-US"/>
    </w:rPr>
  </w:style>
  <w:style w:type="paragraph" w:styleId="Header">
    <w:name w:val="header"/>
    <w:basedOn w:val="Normal"/>
    <w:link w:val="HeaderChar"/>
    <w:uiPriority w:val="99"/>
    <w:unhideWhenUsed/>
    <w:rsid w:val="00067E98"/>
    <w:pPr>
      <w:tabs>
        <w:tab w:val="center" w:pos="4320"/>
        <w:tab w:val="right" w:pos="8640"/>
      </w:tabs>
      <w:spacing w:after="0" w:line="240" w:lineRule="auto"/>
    </w:pPr>
  </w:style>
  <w:style w:type="character" w:customStyle="1" w:styleId="HeaderChar">
    <w:name w:val="Header Char"/>
    <w:basedOn w:val="DefaultParagraphFont"/>
    <w:link w:val="Header"/>
    <w:uiPriority w:val="99"/>
    <w:rsid w:val="00067E98"/>
  </w:style>
  <w:style w:type="paragraph" w:styleId="Footer">
    <w:name w:val="footer"/>
    <w:basedOn w:val="Normal"/>
    <w:link w:val="FooterChar"/>
    <w:uiPriority w:val="99"/>
    <w:unhideWhenUsed/>
    <w:rsid w:val="00067E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067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782189">
      <w:bodyDiv w:val="1"/>
      <w:marLeft w:val="0"/>
      <w:marRight w:val="0"/>
      <w:marTop w:val="0"/>
      <w:marBottom w:val="0"/>
      <w:divBdr>
        <w:top w:val="none" w:sz="0" w:space="0" w:color="auto"/>
        <w:left w:val="none" w:sz="0" w:space="0" w:color="auto"/>
        <w:bottom w:val="none" w:sz="0" w:space="0" w:color="auto"/>
        <w:right w:val="none" w:sz="0" w:space="0" w:color="auto"/>
      </w:divBdr>
    </w:div>
    <w:div w:id="1216314771">
      <w:bodyDiv w:val="1"/>
      <w:marLeft w:val="0"/>
      <w:marRight w:val="0"/>
      <w:marTop w:val="0"/>
      <w:marBottom w:val="0"/>
      <w:divBdr>
        <w:top w:val="none" w:sz="0" w:space="0" w:color="auto"/>
        <w:left w:val="none" w:sz="0" w:space="0" w:color="auto"/>
        <w:bottom w:val="none" w:sz="0" w:space="0" w:color="auto"/>
        <w:right w:val="none" w:sz="0" w:space="0" w:color="auto"/>
      </w:divBdr>
    </w:div>
    <w:div w:id="1477337421">
      <w:bodyDiv w:val="1"/>
      <w:marLeft w:val="0"/>
      <w:marRight w:val="0"/>
      <w:marTop w:val="0"/>
      <w:marBottom w:val="0"/>
      <w:divBdr>
        <w:top w:val="none" w:sz="0" w:space="0" w:color="auto"/>
        <w:left w:val="none" w:sz="0" w:space="0" w:color="auto"/>
        <w:bottom w:val="none" w:sz="0" w:space="0" w:color="auto"/>
        <w:right w:val="none" w:sz="0" w:space="0" w:color="auto"/>
      </w:divBdr>
    </w:div>
    <w:div w:id="198307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www.correlatesofwar.org/data-sets/territorial-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08CD5-BEF8-7F40-9AFD-FA00FBF08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2762</Words>
  <Characters>15747</Characters>
  <Application>Microsoft Macintosh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Oona  Hathaway</cp:lastModifiedBy>
  <cp:revision>3</cp:revision>
  <cp:lastPrinted>2017-08-25T16:04:00Z</cp:lastPrinted>
  <dcterms:created xsi:type="dcterms:W3CDTF">2017-08-25T21:18:00Z</dcterms:created>
  <dcterms:modified xsi:type="dcterms:W3CDTF">2017-08-25T23:52:00Z</dcterms:modified>
</cp:coreProperties>
</file>